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高标准数字园区建设指南</w:t>
      </w:r>
    </w:p>
    <w:p>
      <w:pPr>
        <w:pStyle w:val="BodyText"/>
        <w:spacing w:before="16"/>
        <w:ind w:left="0"/>
        <w:jc w:val="left"/>
        <w:rPr>
          <w:rFonts w:ascii="Arial Unicode MS"/>
          <w:sz w:val="34"/>
        </w:rPr>
      </w:pPr>
    </w:p>
    <w:p>
      <w:pPr>
        <w:pStyle w:val="BodyText"/>
        <w:spacing w:line="326" w:lineRule="auto"/>
        <w:ind w:right="117" w:firstLine="640"/>
        <w:jc w:val="left"/>
      </w:pPr>
      <w:r>
        <w:rPr>
          <w:spacing w:val="13"/>
          <w:w w:val="95"/>
        </w:rPr>
        <w:t>建设高标准数字园区是促进园区高质量发展的关键举 </w:t>
      </w:r>
      <w:r>
        <w:rPr>
          <w:spacing w:val="24"/>
          <w:w w:val="95"/>
        </w:rPr>
        <w:t>措，是推动制造业数字化转型的重要抓手。为贯彻落实</w:t>
      </w:r>
    </w:p>
    <w:p>
      <w:pPr>
        <w:pStyle w:val="BodyText"/>
        <w:spacing w:line="326" w:lineRule="auto" w:before="6"/>
        <w:ind w:right="120"/>
      </w:pPr>
      <w:r>
        <w:rPr>
          <w:spacing w:val="9"/>
        </w:rPr>
        <w:t>《制造业数字化转型行动方案》（国办发〔</w:t>
      </w:r>
      <w:r>
        <w:rPr>
          <w:rFonts w:ascii="Times New Roman" w:eastAsia="Times New Roman"/>
          <w:spacing w:val="2"/>
        </w:rPr>
        <w:t>2024</w:t>
      </w:r>
      <w:r>
        <w:rPr>
          <w:spacing w:val="9"/>
        </w:rPr>
        <w:t>〕</w:t>
      </w:r>
      <w:r>
        <w:rPr>
          <w:rFonts w:ascii="Times New Roman" w:eastAsia="Times New Roman"/>
        </w:rPr>
        <w:t>25</w:t>
      </w:r>
      <w:r>
        <w:rPr>
          <w:rFonts w:ascii="Times New Roman" w:eastAsia="Times New Roman"/>
          <w:spacing w:val="-9"/>
        </w:rPr>
        <w:t> </w:t>
      </w:r>
      <w:r>
        <w:rPr>
          <w:spacing w:val="9"/>
        </w:rPr>
        <w:t>号</w:t>
      </w:r>
      <w:r>
        <w:rPr/>
        <w:t>） </w:t>
      </w:r>
      <w:r>
        <w:rPr>
          <w:spacing w:val="11"/>
          <w:w w:val="95"/>
        </w:rPr>
        <w:t>任务部署，加快打造一批高标准数字园区，引领带动各类 </w:t>
      </w:r>
      <w:r>
        <w:rPr>
          <w:spacing w:val="11"/>
        </w:rPr>
        <w:t>园区加快数字化转型步伐，制定本指南。</w:t>
      </w:r>
    </w:p>
    <w:p>
      <w:pPr>
        <w:pStyle w:val="BodyText"/>
        <w:spacing w:before="7"/>
        <w:ind w:left="760"/>
        <w:jc w:val="left"/>
        <w:rPr>
          <w:rFonts w:ascii="黑体" w:eastAsia="黑体" w:hint="eastAsia"/>
        </w:rPr>
      </w:pPr>
      <w:bookmarkStart w:name="一、总体要求" w:id="1"/>
      <w:bookmarkEnd w:id="1"/>
      <w:r>
        <w:rPr/>
      </w:r>
      <w:r>
        <w:rPr>
          <w:rFonts w:ascii="黑体" w:eastAsia="黑体" w:hint="eastAsia"/>
        </w:rPr>
        <w:t>一、总体要求</w:t>
      </w:r>
    </w:p>
    <w:p>
      <w:pPr>
        <w:pStyle w:val="BodyText"/>
        <w:spacing w:line="328" w:lineRule="auto" w:before="149"/>
        <w:ind w:right="117" w:firstLine="640"/>
      </w:pPr>
      <w:r>
        <w:rPr>
          <w:spacing w:val="13"/>
          <w:w w:val="95"/>
        </w:rPr>
        <w:t>以习近平新时代中国特色社会主义思想为指导，深入 </w:t>
      </w:r>
      <w:r>
        <w:rPr>
          <w:spacing w:val="11"/>
          <w:w w:val="95"/>
        </w:rPr>
        <w:t>贯彻党的二十大和二十届历次全会精神，落实全国新型工 业化推进大会部署，完整准确全面贯彻新发展理念，统筹 高质量发展和高水平安全，锚定实现新型工业化这个关键 任务，以数字技术与园区发展深度融合为主线，以园区产 业数字化转型为重点，协同推进园区服务数字化、管理数 字化，夯实数字基础设施，提升园区发展质量，为加快推 </w:t>
      </w:r>
      <w:r>
        <w:rPr>
          <w:spacing w:val="11"/>
        </w:rPr>
        <w:t>进新型工业化、建设现代化产业体系提供有力支撑。</w:t>
      </w:r>
    </w:p>
    <w:p>
      <w:pPr>
        <w:pStyle w:val="BodyText"/>
        <w:spacing w:line="397" w:lineRule="exact"/>
        <w:ind w:left="760"/>
      </w:pPr>
      <w:r>
        <w:rPr/>
        <w:t>到 </w:t>
      </w:r>
      <w:r>
        <w:rPr>
          <w:rFonts w:ascii="Times New Roman" w:eastAsia="Times New Roman"/>
        </w:rPr>
        <w:t>2027 </w:t>
      </w:r>
      <w:r>
        <w:rPr/>
        <w:t>年，建成 </w:t>
      </w:r>
      <w:r>
        <w:rPr>
          <w:rFonts w:ascii="Times New Roman" w:eastAsia="Times New Roman"/>
        </w:rPr>
        <w:t>200 </w:t>
      </w:r>
      <w:r>
        <w:rPr/>
        <w:t>个左右高标准数字园区，实现园</w:t>
      </w:r>
    </w:p>
    <w:p>
      <w:pPr>
        <w:pStyle w:val="BodyText"/>
        <w:spacing w:line="328" w:lineRule="auto" w:before="149"/>
        <w:ind w:right="120"/>
      </w:pPr>
      <w:r>
        <w:rPr>
          <w:spacing w:val="11"/>
          <w:w w:val="95"/>
        </w:rPr>
        <w:t>区规上工业企业数字化改造全覆盖，园区管理、服务数字 化水平明显提升，形成一批可复制可推广的数智赋能园区 </w:t>
      </w:r>
      <w:r>
        <w:rPr>
          <w:spacing w:val="11"/>
        </w:rPr>
        <w:t>发展的典型模式，园区发展质量和效益显著提升。</w:t>
      </w:r>
    </w:p>
    <w:p>
      <w:pPr>
        <w:pStyle w:val="BodyText"/>
        <w:spacing w:line="405" w:lineRule="exact"/>
        <w:ind w:left="760"/>
        <w:jc w:val="left"/>
        <w:rPr>
          <w:rFonts w:ascii="黑体" w:eastAsia="黑体" w:hint="eastAsia"/>
        </w:rPr>
      </w:pPr>
      <w:bookmarkStart w:name="二、建设对象" w:id="2"/>
      <w:bookmarkEnd w:id="2"/>
      <w:r>
        <w:rPr/>
      </w:r>
      <w:r>
        <w:rPr>
          <w:rFonts w:ascii="黑体" w:eastAsia="黑体" w:hint="eastAsia"/>
        </w:rPr>
        <w:t>二、建设对象</w:t>
      </w:r>
    </w:p>
    <w:p>
      <w:pPr>
        <w:pStyle w:val="BodyText"/>
        <w:spacing w:before="149"/>
        <w:ind w:left="760"/>
        <w:jc w:val="left"/>
      </w:pPr>
      <w:r>
        <w:rPr/>
        <w:t>高标准数字园区依托国务院或省级（自治区、直辖市）</w:t>
      </w:r>
    </w:p>
    <w:p>
      <w:pPr>
        <w:spacing w:after="0"/>
        <w:jc w:val="left"/>
        <w:sectPr>
          <w:footerReference w:type="default" r:id="rId5"/>
          <w:type w:val="continuous"/>
          <w:pgSz w:w="11910" w:h="16840"/>
          <w:pgMar w:footer="1972" w:top="1580" w:bottom="2160" w:left="1680" w:right="1680"/>
          <w:pgNumType w:start="1"/>
        </w:sectPr>
      </w:pPr>
    </w:p>
    <w:p>
      <w:pPr>
        <w:pStyle w:val="BodyText"/>
        <w:spacing w:line="328" w:lineRule="auto" w:before="101"/>
        <w:ind w:right="120"/>
      </w:pPr>
      <w:r>
        <w:rPr>
          <w:spacing w:val="12"/>
          <w:w w:val="95"/>
        </w:rPr>
        <w:t>人民政府（含新疆生产建设兵团</w:t>
      </w:r>
      <w:r>
        <w:rPr>
          <w:spacing w:val="14"/>
          <w:w w:val="95"/>
        </w:rPr>
        <w:t>）</w:t>
      </w:r>
      <w:r>
        <w:rPr>
          <w:spacing w:val="10"/>
          <w:w w:val="95"/>
        </w:rPr>
        <w:t>批准设立的、以制造业 </w:t>
      </w:r>
      <w:r>
        <w:rPr>
          <w:spacing w:val="11"/>
          <w:w w:val="95"/>
        </w:rPr>
        <w:t>和生产性服务业为主导产业的各类园区或园区内特色产业 </w:t>
      </w:r>
      <w:r>
        <w:rPr>
          <w:spacing w:val="11"/>
        </w:rPr>
        <w:t>园（即“园中园”）开展建设。</w:t>
      </w:r>
    </w:p>
    <w:p>
      <w:pPr>
        <w:pStyle w:val="BodyText"/>
        <w:spacing w:line="405" w:lineRule="exact"/>
        <w:ind w:left="760"/>
        <w:jc w:val="left"/>
        <w:rPr>
          <w:rFonts w:ascii="黑体" w:eastAsia="黑体" w:hint="eastAsia"/>
        </w:rPr>
      </w:pPr>
      <w:bookmarkStart w:name="三、建设标准" w:id="3"/>
      <w:bookmarkEnd w:id="3"/>
      <w:r>
        <w:rPr/>
      </w:r>
      <w:r>
        <w:rPr>
          <w:rFonts w:ascii="黑体" w:eastAsia="黑体" w:hint="eastAsia"/>
        </w:rPr>
        <w:t>三、建设标准</w:t>
      </w:r>
    </w:p>
    <w:p>
      <w:pPr>
        <w:pStyle w:val="BodyText"/>
        <w:spacing w:before="152"/>
        <w:ind w:left="760"/>
        <w:jc w:val="left"/>
      </w:pPr>
      <w:r>
        <w:rPr/>
        <w:t>高标准数字园区建设期满后应达到以下标准：</w:t>
      </w:r>
    </w:p>
    <w:p>
      <w:pPr>
        <w:spacing w:line="271" w:lineRule="auto" w:before="43"/>
        <w:ind w:left="120" w:right="117" w:firstLine="640"/>
        <w:jc w:val="left"/>
        <w:rPr>
          <w:sz w:val="32"/>
        </w:rPr>
      </w:pPr>
      <w:r>
        <w:rPr>
          <w:rFonts w:ascii="Microsoft JhengHei" w:hAnsi="Microsoft JhengHei" w:eastAsia="Microsoft JhengHei" w:hint="eastAsia"/>
          <w:b/>
          <w:w w:val="95"/>
          <w:sz w:val="32"/>
        </w:rPr>
        <w:t>——产业数字化水平高</w:t>
      </w:r>
      <w:r>
        <w:rPr>
          <w:w w:val="95"/>
          <w:sz w:val="32"/>
        </w:rPr>
        <w:t>。工业互联网应用覆盖园区全</w:t>
      </w:r>
      <w:r>
        <w:rPr>
          <w:sz w:val="32"/>
        </w:rPr>
        <w:t>部行业，规上工业企业数字化改造覆盖率达 </w:t>
      </w:r>
      <w:r>
        <w:rPr>
          <w:rFonts w:ascii="Times New Roman" w:hAnsi="Times New Roman" w:eastAsia="Times New Roman"/>
          <w:sz w:val="32"/>
        </w:rPr>
        <w:t>100%</w:t>
      </w:r>
      <w:r>
        <w:rPr>
          <w:sz w:val="32"/>
        </w:rPr>
        <w:t>。</w:t>
      </w:r>
    </w:p>
    <w:p>
      <w:pPr>
        <w:pStyle w:val="BodyText"/>
        <w:spacing w:line="271" w:lineRule="auto"/>
        <w:ind w:right="117" w:firstLine="640"/>
        <w:jc w:val="left"/>
      </w:pPr>
      <w:r>
        <w:rPr>
          <w:rFonts w:ascii="Microsoft JhengHei" w:hAnsi="Microsoft JhengHei" w:eastAsia="Microsoft JhengHei" w:hint="eastAsia"/>
          <w:b/>
          <w:w w:val="95"/>
        </w:rPr>
        <w:t>——专业服务品质高</w:t>
      </w:r>
      <w:r>
        <w:rPr>
          <w:w w:val="95"/>
        </w:rPr>
        <w:t>。在生产、生活、政务等方面提供高质量的数字化公共服务，园区数字化生产性服务应用</w:t>
      </w:r>
    </w:p>
    <w:p>
      <w:pPr>
        <w:pStyle w:val="BodyText"/>
        <w:spacing w:before="89"/>
        <w:jc w:val="left"/>
      </w:pPr>
      <w:r>
        <w:rPr/>
        <w:t>覆盖规上工业企业比例达 </w:t>
      </w:r>
      <w:r>
        <w:rPr>
          <w:rFonts w:ascii="Times New Roman" w:eastAsia="Times New Roman"/>
        </w:rPr>
        <w:t>100%</w:t>
      </w:r>
      <w:r>
        <w:rPr/>
        <w:t>。</w:t>
      </w:r>
    </w:p>
    <w:p>
      <w:pPr>
        <w:pStyle w:val="BodyText"/>
        <w:spacing w:line="560" w:lineRule="exact" w:before="23"/>
        <w:ind w:right="115" w:firstLine="640"/>
      </w:pPr>
      <w:r>
        <w:rPr>
          <w:rFonts w:ascii="Microsoft JhengHei" w:hAnsi="Microsoft JhengHei" w:eastAsia="Microsoft JhengHei" w:hint="eastAsia"/>
          <w:b/>
          <w:w w:val="95"/>
        </w:rPr>
        <w:t>——运营管理效率高</w:t>
      </w:r>
      <w:r>
        <w:rPr>
          <w:w w:val="95"/>
        </w:rPr>
        <w:t>。建成覆盖园区资产管理、经济运行监测、绿色低碳发展、安全应急管控等主要环节的数 </w:t>
      </w:r>
      <w:r>
        <w:rPr/>
        <w:t>字化运营管理系统，园区运营管理效率显著提升。</w:t>
      </w:r>
    </w:p>
    <w:p>
      <w:pPr>
        <w:pStyle w:val="BodyText"/>
        <w:spacing w:line="560" w:lineRule="exact"/>
        <w:ind w:right="117" w:firstLine="640"/>
      </w:pPr>
      <w:r>
        <w:rPr>
          <w:rFonts w:ascii="Microsoft JhengHei" w:hAnsi="Microsoft JhengHei" w:eastAsia="Microsoft JhengHei" w:hint="eastAsia"/>
          <w:b/>
          <w:w w:val="95"/>
        </w:rPr>
        <w:t>——基础设施能级高</w:t>
      </w:r>
      <w:r>
        <w:rPr>
          <w:w w:val="95"/>
        </w:rPr>
        <w:t>。数字基础设施支撑作用显著增</w:t>
      </w:r>
      <w:r>
        <w:rPr/>
        <w:t>强，双千兆网络覆盖率达 </w:t>
      </w:r>
      <w:r>
        <w:rPr>
          <w:rFonts w:ascii="Times New Roman" w:hAnsi="Times New Roman" w:eastAsia="Times New Roman"/>
        </w:rPr>
        <w:t>100%</w:t>
      </w:r>
      <w:r>
        <w:rPr/>
        <w:t>，算力基础设施实现有效部署和应用，数据开放共享、安全保障水平显著提升。</w:t>
      </w:r>
    </w:p>
    <w:p>
      <w:pPr>
        <w:pStyle w:val="BodyText"/>
        <w:spacing w:before="128"/>
        <w:ind w:left="760"/>
        <w:jc w:val="left"/>
        <w:rPr>
          <w:rFonts w:ascii="黑体" w:eastAsia="黑体" w:hint="eastAsia"/>
        </w:rPr>
      </w:pPr>
      <w:bookmarkStart w:name="四、建设任务" w:id="4"/>
      <w:bookmarkEnd w:id="4"/>
      <w:r>
        <w:rPr/>
      </w:r>
      <w:r>
        <w:rPr>
          <w:rFonts w:ascii="黑体" w:eastAsia="黑体" w:hint="eastAsia"/>
        </w:rPr>
        <w:t>四、建设任务</w:t>
      </w:r>
    </w:p>
    <w:p>
      <w:pPr>
        <w:pStyle w:val="Heading1"/>
        <w:spacing w:line="574" w:lineRule="exact" w:before="44"/>
      </w:pPr>
      <w:bookmarkStart w:name="（一）推进产业数字化转型" w:id="5"/>
      <w:bookmarkEnd w:id="5"/>
      <w:r>
        <w:rPr>
          <w:b w:val="0"/>
        </w:rPr>
      </w:r>
      <w:r>
        <w:rPr/>
        <w:t>（一）推进产业数字化转型</w:t>
      </w: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574" w:lineRule="exact" w:before="0" w:after="0"/>
        <w:ind w:left="1000" w:right="0" w:hanging="241"/>
        <w:jc w:val="left"/>
        <w:rPr>
          <w:rFonts w:ascii="Times New Roman" w:eastAsia="Times New Roman"/>
          <w:sz w:val="30"/>
        </w:rPr>
      </w:pPr>
      <w:bookmarkStart w:name="1.打造企业数字化转型标杆。聚焦园区主导产业，依托制造业数字化转型通用评估指标体" w:id="6"/>
      <w:bookmarkEnd w:id="6"/>
      <w:r>
        <w:rPr/>
      </w:r>
      <w:bookmarkStart w:name="1.打造企业数字化转型标杆。聚焦园区主导产业，依托制造业数字化转型通用评估指标体" w:id="7"/>
      <w:bookmarkEnd w:id="7"/>
      <w:r>
        <w:rPr>
          <w:rFonts w:ascii="Microsoft JhengHei" w:eastAsia="Microsoft JhengHei" w:hint="eastAsia"/>
          <w:b/>
          <w:spacing w:val="2"/>
          <w:sz w:val="32"/>
        </w:rPr>
        <w:t>打造企业数字化转型标杆。</w:t>
      </w:r>
      <w:r>
        <w:rPr>
          <w:sz w:val="32"/>
        </w:rPr>
        <w:t>聚焦园区主导产业，依托</w:t>
      </w:r>
    </w:p>
    <w:p>
      <w:pPr>
        <w:pStyle w:val="BodyText"/>
        <w:spacing w:line="326" w:lineRule="auto" w:before="79"/>
        <w:ind w:right="105"/>
      </w:pPr>
      <w:r>
        <w:rPr/>
        <w:t>制造业数字化转型通用评估指标体系引导企业数字化改造， </w:t>
      </w:r>
      <w:r>
        <w:rPr>
          <w:spacing w:val="11"/>
          <w:w w:val="95"/>
        </w:rPr>
        <w:t>建设制造业数字化转型促进中心等载体，深化新一代信息 技术全链条赋能应用，推动企业全要素生产率提升。积极</w:t>
      </w:r>
    </w:p>
    <w:p>
      <w:pPr>
        <w:spacing w:after="0" w:line="326" w:lineRule="auto"/>
        <w:sectPr>
          <w:pgSz w:w="11910" w:h="16840"/>
          <w:pgMar w:header="0" w:footer="1972" w:top="1580" w:bottom="2160" w:left="1680" w:right="1680"/>
        </w:sectPr>
      </w:pPr>
    </w:p>
    <w:p>
      <w:pPr>
        <w:pStyle w:val="BodyText"/>
        <w:spacing w:line="328" w:lineRule="auto" w:before="101"/>
        <w:ind w:right="117"/>
      </w:pPr>
      <w:r>
        <w:rPr>
          <w:spacing w:val="5"/>
          <w:w w:val="95"/>
        </w:rPr>
        <w:t>开展“人工智能</w:t>
      </w:r>
      <w:r>
        <w:rPr>
          <w:rFonts w:ascii="Times New Roman" w:hAnsi="Times New Roman" w:eastAsia="Times New Roman"/>
          <w:spacing w:val="4"/>
          <w:w w:val="95"/>
        </w:rPr>
        <w:t>+</w:t>
      </w:r>
      <w:r>
        <w:rPr>
          <w:spacing w:val="4"/>
          <w:w w:val="95"/>
        </w:rPr>
        <w:t>制造”应用探索，支持企业开展智能工厂 </w:t>
      </w:r>
      <w:r>
        <w:rPr>
          <w:spacing w:val="11"/>
          <w:w w:val="95"/>
        </w:rPr>
        <w:t>梯度建设，推进工业机器人等智能制造装备规模化部署， </w:t>
      </w:r>
      <w:r>
        <w:rPr>
          <w:spacing w:val="11"/>
        </w:rPr>
        <w:t>推动企业生产智能化跃升。</w:t>
      </w: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478" w:lineRule="exact" w:before="0" w:after="0"/>
        <w:ind w:left="1000" w:right="0" w:hanging="241"/>
        <w:jc w:val="left"/>
        <w:rPr>
          <w:rFonts w:ascii="Times New Roman" w:eastAsia="Times New Roman"/>
          <w:sz w:val="30"/>
        </w:rPr>
      </w:pPr>
      <w:r>
        <w:rPr>
          <w:rFonts w:ascii="Microsoft JhengHei" w:eastAsia="Microsoft JhengHei" w:hint="eastAsia"/>
          <w:b/>
          <w:spacing w:val="3"/>
          <w:sz w:val="32"/>
        </w:rPr>
        <w:t>开展链式数字化改造。</w:t>
      </w:r>
      <w:r>
        <w:rPr>
          <w:sz w:val="32"/>
        </w:rPr>
        <w:t>支持龙头企业实施供应链协同</w:t>
      </w:r>
    </w:p>
    <w:p>
      <w:pPr>
        <w:pStyle w:val="BodyText"/>
        <w:spacing w:line="328" w:lineRule="auto" w:before="79"/>
        <w:ind w:right="120"/>
      </w:pPr>
      <w:r>
        <w:rPr>
          <w:spacing w:val="11"/>
          <w:w w:val="95"/>
        </w:rPr>
        <w:t>数字化改造，面向上下游企业开放应用场景、共享技术能 力，推动产业链上下游企业开展数字化升级。鼓励依托工 业互联网平台牵引企业数字化改造，基于平台订单数据与 企业销售、产能、库存等环节的协同需求，推进企业运营 </w:t>
      </w:r>
      <w:r>
        <w:rPr>
          <w:spacing w:val="11"/>
        </w:rPr>
        <w:t>管理等领域数字化转型。</w:t>
      </w: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473" w:lineRule="exact" w:before="0" w:after="0"/>
        <w:ind w:left="1000" w:right="0" w:hanging="241"/>
        <w:jc w:val="left"/>
        <w:rPr>
          <w:rFonts w:ascii="Times New Roman" w:eastAsia="Times New Roman"/>
          <w:sz w:val="30"/>
        </w:rPr>
      </w:pPr>
      <w:r>
        <w:rPr>
          <w:rFonts w:ascii="Microsoft JhengHei" w:eastAsia="Microsoft JhengHei" w:hint="eastAsia"/>
          <w:b/>
          <w:spacing w:val="1"/>
          <w:sz w:val="32"/>
        </w:rPr>
        <w:t>强化中小企业数字化转型服务。</w:t>
      </w:r>
      <w:r>
        <w:rPr>
          <w:sz w:val="32"/>
        </w:rPr>
        <w:t>加快推进中小企业关</w:t>
      </w:r>
    </w:p>
    <w:p>
      <w:pPr>
        <w:pStyle w:val="BodyText"/>
        <w:spacing w:line="328" w:lineRule="auto" w:before="79"/>
        <w:ind w:right="120"/>
      </w:pPr>
      <w:r>
        <w:rPr>
          <w:spacing w:val="11"/>
          <w:w w:val="95"/>
        </w:rPr>
        <w:t>键设备和业务系统上云，推广“小快轻准”的数字化产品 与服务，促进中小企业实现提质降本增效。聚焦重点场景 实施深度改造，强化跨业务系统集成应用，支持中小企业 </w:t>
      </w:r>
      <w:r>
        <w:rPr>
          <w:spacing w:val="11"/>
        </w:rPr>
        <w:t>探索人工智能创新应用。</w:t>
      </w:r>
    </w:p>
    <w:p>
      <w:pPr>
        <w:pStyle w:val="Heading1"/>
        <w:spacing w:line="461" w:lineRule="exact"/>
      </w:pPr>
      <w:bookmarkStart w:name="（二）加强园区数字化服务" w:id="8"/>
      <w:bookmarkEnd w:id="8"/>
      <w:r>
        <w:rPr>
          <w:b w:val="0"/>
        </w:rPr>
      </w:r>
      <w:r>
        <w:rPr/>
        <w:t>（二）加强园区数字化服务</w:t>
      </w: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574" w:lineRule="exact" w:before="0" w:after="0"/>
        <w:ind w:left="1000" w:right="115" w:hanging="1001"/>
        <w:jc w:val="right"/>
        <w:rPr>
          <w:rFonts w:ascii="Times New Roman" w:eastAsia="Times New Roman"/>
          <w:sz w:val="30"/>
        </w:rPr>
      </w:pPr>
      <w:bookmarkStart w:name="4.拓展数字化生产性服务。加快推进园区内生产性资源数字化共享，积极发展协同研发、" w:id="9"/>
      <w:bookmarkEnd w:id="9"/>
      <w:r>
        <w:rPr/>
      </w:r>
      <w:bookmarkStart w:name="4.拓展数字化生产性服务。加快推进园区内生产性资源数字化共享，积极发展协同研发、" w:id="10"/>
      <w:bookmarkEnd w:id="10"/>
      <w:r>
        <w:rPr>
          <w:rFonts w:ascii="Microsoft JhengHei" w:eastAsia="Microsoft JhengHei" w:hint="eastAsia"/>
          <w:b/>
          <w:spacing w:val="3"/>
          <w:w w:val="95"/>
          <w:sz w:val="32"/>
        </w:rPr>
        <w:t>拓展数字化生产性服务。</w:t>
      </w:r>
      <w:r>
        <w:rPr>
          <w:w w:val="95"/>
          <w:sz w:val="32"/>
        </w:rPr>
        <w:t>加快推进园区内生产性资源</w:t>
      </w:r>
    </w:p>
    <w:p>
      <w:pPr>
        <w:pStyle w:val="BodyText"/>
        <w:spacing w:line="328" w:lineRule="auto" w:before="78"/>
        <w:ind w:right="120"/>
      </w:pPr>
      <w:r>
        <w:rPr>
          <w:spacing w:val="11"/>
          <w:w w:val="95"/>
        </w:rPr>
        <w:t>数字化共享，积极发展协同研发、共享制造、共享仓储等 协同服务模式，有效盘活园区存量资源。强化园区外生产 性资源数字化对接，大力开展集采集销、共享物流、数字 </w:t>
      </w:r>
      <w:r>
        <w:rPr>
          <w:spacing w:val="11"/>
        </w:rPr>
        <w:t>金融等创新服务，高效利用外部资源支撑园区发展。</w:t>
      </w: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475" w:lineRule="exact" w:before="0" w:after="0"/>
        <w:ind w:left="1000" w:right="115" w:hanging="1001"/>
        <w:jc w:val="right"/>
        <w:rPr>
          <w:rFonts w:ascii="Times New Roman" w:eastAsia="Times New Roman"/>
          <w:sz w:val="30"/>
        </w:rPr>
      </w:pPr>
      <w:bookmarkStart w:name="5.升级数字化生活性服务。推动园区居住服务数字化，集成线上物业、智能安防、楼宇可" w:id="11"/>
      <w:bookmarkEnd w:id="11"/>
      <w:r>
        <w:rPr/>
      </w:r>
      <w:bookmarkStart w:name="5.升级数字化生活性服务。推动园区居住服务数字化，集成线上物业、智能安防、楼宇可" w:id="12"/>
      <w:bookmarkEnd w:id="12"/>
      <w:r>
        <w:rPr>
          <w:rFonts w:ascii="Microsoft JhengHei" w:eastAsia="Microsoft JhengHei" w:hint="eastAsia"/>
          <w:b/>
          <w:spacing w:val="3"/>
          <w:w w:val="95"/>
          <w:sz w:val="32"/>
        </w:rPr>
        <w:t>升级数字化生活性服务。</w:t>
      </w:r>
      <w:r>
        <w:rPr>
          <w:w w:val="95"/>
          <w:sz w:val="32"/>
        </w:rPr>
        <w:t>推动园区居住服务数字化，</w:t>
      </w:r>
    </w:p>
    <w:p>
      <w:pPr>
        <w:pStyle w:val="BodyText"/>
        <w:spacing w:before="77"/>
        <w:ind w:left="0" w:right="120"/>
        <w:jc w:val="right"/>
      </w:pPr>
      <w:r>
        <w:rPr>
          <w:spacing w:val="11"/>
          <w:w w:val="95"/>
        </w:rPr>
        <w:t>集成线上物业、智能安防、楼宇可视化等服务，提供智慧</w:t>
      </w:r>
    </w:p>
    <w:p>
      <w:pPr>
        <w:spacing w:after="0"/>
        <w:jc w:val="right"/>
        <w:sectPr>
          <w:pgSz w:w="11910" w:h="16840"/>
          <w:pgMar w:header="0" w:footer="1972" w:top="1580" w:bottom="2160" w:left="1680" w:right="1680"/>
        </w:sectPr>
      </w:pPr>
    </w:p>
    <w:p>
      <w:pPr>
        <w:pStyle w:val="BodyText"/>
        <w:spacing w:line="328" w:lineRule="auto" w:before="101"/>
        <w:ind w:right="120"/>
        <w:jc w:val="left"/>
      </w:pPr>
      <w:r>
        <w:rPr>
          <w:spacing w:val="11"/>
          <w:w w:val="95"/>
        </w:rPr>
        <w:t>停车管理、智能路线调度等服务，发展商品无人配送等服 </w:t>
      </w:r>
      <w:r>
        <w:rPr>
          <w:spacing w:val="11"/>
        </w:rPr>
        <w:t>务，打造智慧宜居生活环境。</w:t>
      </w: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480" w:lineRule="exact" w:before="0" w:after="0"/>
        <w:ind w:left="1000" w:right="0" w:hanging="241"/>
        <w:jc w:val="left"/>
        <w:rPr>
          <w:rFonts w:ascii="Times New Roman" w:eastAsia="Times New Roman"/>
          <w:sz w:val="30"/>
        </w:rPr>
      </w:pPr>
      <w:bookmarkStart w:name="6.优化数字化政务服务。全面实现一站式数字化行政审批服务，提升企业设立、项目建设" w:id="13"/>
      <w:bookmarkEnd w:id="13"/>
      <w:r>
        <w:rPr/>
      </w:r>
      <w:bookmarkStart w:name="6.优化数字化政务服务。全面实现一站式数字化行政审批服务，提升企业设立、项目建设" w:id="14"/>
      <w:bookmarkEnd w:id="14"/>
      <w:r>
        <w:rPr>
          <w:rFonts w:ascii="Microsoft JhengHei" w:eastAsia="Microsoft JhengHei" w:hint="eastAsia"/>
          <w:b/>
          <w:spacing w:val="3"/>
          <w:sz w:val="32"/>
        </w:rPr>
        <w:t>优化数字化政务服务。</w:t>
      </w:r>
      <w:r>
        <w:rPr>
          <w:sz w:val="32"/>
        </w:rPr>
        <w:t>全面实现一站式数字化行政审</w:t>
      </w:r>
    </w:p>
    <w:p>
      <w:pPr>
        <w:pStyle w:val="BodyText"/>
        <w:spacing w:line="328" w:lineRule="auto" w:before="77"/>
        <w:ind w:right="117"/>
      </w:pPr>
      <w:r>
        <w:rPr>
          <w:spacing w:val="11"/>
          <w:w w:val="95"/>
        </w:rPr>
        <w:t>批服务，提升企业设立、项目建设、经营许可、安全与环 </w:t>
      </w:r>
      <w:r>
        <w:rPr>
          <w:spacing w:val="24"/>
          <w:w w:val="95"/>
        </w:rPr>
        <w:t>保评估、财务税务等事项行政审批效率。加快探索应用 </w:t>
      </w:r>
      <w:r>
        <w:rPr>
          <w:spacing w:val="5"/>
          <w:w w:val="95"/>
        </w:rPr>
        <w:t>“人工智能</w:t>
      </w:r>
      <w:r>
        <w:rPr>
          <w:rFonts w:ascii="Times New Roman" w:hAnsi="Times New Roman" w:eastAsia="Times New Roman"/>
          <w:spacing w:val="4"/>
          <w:w w:val="95"/>
        </w:rPr>
        <w:t>+</w:t>
      </w:r>
      <w:r>
        <w:rPr>
          <w:spacing w:val="4"/>
          <w:w w:val="95"/>
        </w:rPr>
        <w:t>政务”等新模式，提升服务智能化、精准化、 </w:t>
      </w:r>
      <w:r>
        <w:rPr>
          <w:spacing w:val="4"/>
        </w:rPr>
        <w:t>个性化水平。</w:t>
      </w:r>
    </w:p>
    <w:p>
      <w:pPr>
        <w:pStyle w:val="Heading1"/>
        <w:spacing w:line="463" w:lineRule="exact"/>
      </w:pPr>
      <w:bookmarkStart w:name="（三）完善园区数字化管理" w:id="15"/>
      <w:bookmarkEnd w:id="15"/>
      <w:r>
        <w:rPr>
          <w:b w:val="0"/>
        </w:rPr>
      </w:r>
      <w:r>
        <w:rPr/>
        <w:t>（三）完善园区数字化管理</w:t>
      </w: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574" w:lineRule="exact" w:before="0" w:after="0"/>
        <w:ind w:left="1000" w:right="0" w:hanging="241"/>
        <w:jc w:val="left"/>
        <w:rPr>
          <w:rFonts w:ascii="Times New Roman" w:eastAsia="Times New Roman"/>
          <w:sz w:val="30"/>
        </w:rPr>
      </w:pPr>
      <w:bookmarkStart w:name="7.加强园区资产数字化管理。整合园区土地、楼宇、道路设施等各类资产信息，实现资产" w:id="16"/>
      <w:bookmarkEnd w:id="16"/>
      <w:r>
        <w:rPr/>
      </w:r>
      <w:bookmarkStart w:name="7.加强园区资产数字化管理。整合园区土地、楼宇、道路设施等各类资产信息，实现资产" w:id="17"/>
      <w:bookmarkEnd w:id="17"/>
      <w:r>
        <w:rPr>
          <w:rFonts w:ascii="Microsoft JhengHei" w:eastAsia="Microsoft JhengHei" w:hint="eastAsia"/>
          <w:b/>
          <w:spacing w:val="2"/>
          <w:sz w:val="32"/>
        </w:rPr>
        <w:t>加强园区资产数字化管理。</w:t>
      </w:r>
      <w:r>
        <w:rPr>
          <w:sz w:val="32"/>
        </w:rPr>
        <w:t>整合园区土地、楼宇、道</w:t>
      </w:r>
    </w:p>
    <w:p>
      <w:pPr>
        <w:pStyle w:val="BodyText"/>
        <w:spacing w:line="328" w:lineRule="auto" w:before="76"/>
        <w:ind w:right="120"/>
      </w:pPr>
      <w:r>
        <w:rPr>
          <w:spacing w:val="11"/>
          <w:w w:val="95"/>
        </w:rPr>
        <w:t>路设施等各类资产信息，实现资产全链条全生命周期数字 化、可视化管理。推动资产智能化运维，实现设备设施动 态监测、智能评估与运维优化，提高园区设备设施利用效 </w:t>
      </w:r>
      <w:r>
        <w:rPr>
          <w:spacing w:val="11"/>
        </w:rPr>
        <w:t>率。</w:t>
      </w: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478" w:lineRule="exact" w:before="0" w:after="0"/>
        <w:ind w:left="1000" w:right="0" w:hanging="241"/>
        <w:jc w:val="left"/>
        <w:rPr>
          <w:rFonts w:ascii="Times New Roman" w:eastAsia="Times New Roman"/>
          <w:sz w:val="30"/>
        </w:rPr>
      </w:pPr>
      <w:bookmarkStart w:name="8.完善经济运行数字化管理。建立园区企业数字档案，构建园区产业运行监测体系，深化" w:id="18"/>
      <w:bookmarkEnd w:id="18"/>
      <w:r>
        <w:rPr/>
      </w:r>
      <w:bookmarkStart w:name="8.完善经济运行数字化管理。建立园区企业数字档案，构建园区产业运行监测体系，深化" w:id="19"/>
      <w:bookmarkEnd w:id="19"/>
      <w:r>
        <w:rPr>
          <w:rFonts w:ascii="Microsoft JhengHei" w:eastAsia="Microsoft JhengHei" w:hint="eastAsia"/>
          <w:b/>
          <w:spacing w:val="2"/>
          <w:sz w:val="32"/>
        </w:rPr>
        <w:t>完善经济运行数字化管理。</w:t>
      </w:r>
      <w:r>
        <w:rPr>
          <w:sz w:val="32"/>
        </w:rPr>
        <w:t>建立园区企业数字档案，</w:t>
      </w:r>
    </w:p>
    <w:p>
      <w:pPr>
        <w:pStyle w:val="BodyText"/>
        <w:spacing w:line="328" w:lineRule="auto" w:before="76"/>
        <w:ind w:right="120"/>
      </w:pPr>
      <w:r>
        <w:rPr>
          <w:spacing w:val="11"/>
          <w:w w:val="95"/>
        </w:rPr>
        <w:t>构建园区产业运行监测体系，深化大数据、人工智能等技 术应用，加强重点环节和潜在企业的精准招商，推进产业 </w:t>
      </w:r>
      <w:r>
        <w:rPr>
          <w:spacing w:val="11"/>
        </w:rPr>
        <w:t>链强链补链，增强产业链韧性。</w:t>
      </w: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478" w:lineRule="exact" w:before="0" w:after="0"/>
        <w:ind w:left="1000" w:right="0" w:hanging="241"/>
        <w:jc w:val="left"/>
        <w:rPr>
          <w:rFonts w:ascii="Times New Roman" w:eastAsia="Times New Roman"/>
          <w:sz w:val="30"/>
        </w:rPr>
      </w:pPr>
      <w:bookmarkStart w:name="9.推进绿色低碳数字化管理。依托数字化能碳管理中心等载体，开展能耗动态监测与优化" w:id="20"/>
      <w:bookmarkEnd w:id="20"/>
      <w:r>
        <w:rPr/>
      </w:r>
      <w:bookmarkStart w:name="9.推进绿色低碳数字化管理。依托数字化能碳管理中心等载体，开展能耗动态监测与优化" w:id="21"/>
      <w:bookmarkEnd w:id="21"/>
      <w:r>
        <w:rPr>
          <w:rFonts w:ascii="Microsoft JhengHei" w:eastAsia="Microsoft JhengHei" w:hint="eastAsia"/>
          <w:b/>
          <w:spacing w:val="3"/>
          <w:sz w:val="32"/>
        </w:rPr>
        <w:t>推进绿色低碳数字化管理。</w:t>
      </w:r>
      <w:r>
        <w:rPr>
          <w:sz w:val="32"/>
        </w:rPr>
        <w:t>依托数字化能碳管理中心</w:t>
      </w:r>
    </w:p>
    <w:p>
      <w:pPr>
        <w:pStyle w:val="BodyText"/>
        <w:spacing w:line="328" w:lineRule="auto" w:before="76"/>
        <w:ind w:right="117"/>
      </w:pPr>
      <w:r>
        <w:rPr>
          <w:spacing w:val="11"/>
          <w:w w:val="95"/>
        </w:rPr>
        <w:t>等载体，开展能耗动态监测与优化，加强对园区碳排放量 的数字化核算与分析，提升数字技术赋能园区绿色低碳发 展水平。开展污染物排放、工业固废产生过程智能管理， 利用人工智能等技术，加强污染源实时监控分析，源头减</w:t>
      </w:r>
    </w:p>
    <w:p>
      <w:pPr>
        <w:spacing w:after="0" w:line="328" w:lineRule="auto"/>
        <w:sectPr>
          <w:pgSz w:w="11910" w:h="16840"/>
          <w:pgMar w:header="0" w:footer="1972" w:top="1580" w:bottom="2160" w:left="1680" w:right="1680"/>
        </w:sectPr>
      </w:pPr>
    </w:p>
    <w:p>
      <w:pPr>
        <w:pStyle w:val="BodyText"/>
        <w:spacing w:before="101"/>
        <w:jc w:val="left"/>
      </w:pPr>
      <w:r>
        <w:rPr/>
        <w:t>少固废产生。</w:t>
      </w:r>
    </w:p>
    <w:p>
      <w:pPr>
        <w:pStyle w:val="ListParagraph"/>
        <w:numPr>
          <w:ilvl w:val="0"/>
          <w:numId w:val="1"/>
        </w:numPr>
        <w:tabs>
          <w:tab w:pos="1169" w:val="left" w:leader="none"/>
        </w:tabs>
        <w:spacing w:line="560" w:lineRule="exact" w:before="24" w:after="0"/>
        <w:ind w:left="120" w:right="117" w:firstLine="640"/>
        <w:jc w:val="both"/>
        <w:rPr>
          <w:rFonts w:ascii="Times New Roman" w:eastAsia="Times New Roman"/>
          <w:sz w:val="30"/>
        </w:rPr>
      </w:pPr>
      <w:bookmarkStart w:name="10.强化安全应急数字化管理。对园区内安全风险点进行实时监测，基于大数据分析实现" w:id="22"/>
      <w:bookmarkEnd w:id="22"/>
      <w:r>
        <w:rPr/>
      </w:r>
      <w:bookmarkStart w:name="10.强化安全应急数字化管理。对园区内安全风险点进行实时监测，基于大数据分析实现" w:id="23"/>
      <w:bookmarkEnd w:id="23"/>
      <w:r>
        <w:rPr>
          <w:rFonts w:ascii="Microsoft JhengHei" w:eastAsia="Microsoft JhengHei" w:hint="eastAsia"/>
          <w:b/>
          <w:spacing w:val="11"/>
          <w:w w:val="95"/>
          <w:sz w:val="32"/>
        </w:rPr>
        <w:t>强化安全应急数字化管理。</w:t>
      </w:r>
      <w:r>
        <w:rPr>
          <w:spacing w:val="8"/>
          <w:w w:val="95"/>
          <w:sz w:val="32"/>
        </w:rPr>
        <w:t>对园区内安全风险点进 </w:t>
      </w:r>
      <w:r>
        <w:rPr>
          <w:spacing w:val="11"/>
          <w:w w:val="95"/>
          <w:sz w:val="32"/>
        </w:rPr>
        <w:t>行实时监测，基于大数据分析实现园区风险精准识别与提 前预警。构建园区安全应急响应系统，加强与园区所在区</w:t>
      </w:r>
    </w:p>
    <w:p>
      <w:pPr>
        <w:pStyle w:val="BodyText"/>
        <w:spacing w:line="326" w:lineRule="auto" w:before="128"/>
        <w:ind w:right="120"/>
        <w:jc w:val="left"/>
      </w:pPr>
      <w:r>
        <w:rPr>
          <w:spacing w:val="11"/>
          <w:w w:val="95"/>
        </w:rPr>
        <w:t>域应急指挥系统协同，推动跨部门数据共享和跨主体协调 </w:t>
      </w:r>
      <w:r>
        <w:rPr>
          <w:spacing w:val="11"/>
        </w:rPr>
        <w:t>联动，提高安全应急响应效率。</w:t>
      </w:r>
    </w:p>
    <w:p>
      <w:pPr>
        <w:pStyle w:val="Heading1"/>
        <w:spacing w:line="473" w:lineRule="exact"/>
      </w:pPr>
      <w:bookmarkStart w:name="（四）夯实数字化支撑能力" w:id="24"/>
      <w:bookmarkEnd w:id="24"/>
      <w:r>
        <w:rPr>
          <w:b w:val="0"/>
        </w:rPr>
      </w:r>
      <w:r>
        <w:rPr/>
        <w:t>（四）夯实数字化支撑能力</w:t>
      </w:r>
    </w:p>
    <w:p>
      <w:pPr>
        <w:pStyle w:val="ListParagraph"/>
        <w:numPr>
          <w:ilvl w:val="0"/>
          <w:numId w:val="1"/>
        </w:numPr>
        <w:tabs>
          <w:tab w:pos="1169" w:val="left" w:leader="none"/>
        </w:tabs>
        <w:spacing w:line="575" w:lineRule="exact" w:before="0" w:after="0"/>
        <w:ind w:left="1168" w:right="0" w:hanging="409"/>
        <w:jc w:val="left"/>
        <w:rPr>
          <w:rFonts w:ascii="Times New Roman" w:eastAsia="Times New Roman"/>
          <w:sz w:val="32"/>
        </w:rPr>
      </w:pPr>
      <w:bookmarkStart w:name="11.健全数字化基础设施。升级网络基础设施，推动5G—A、万兆光网等网络基础设施" w:id="25"/>
      <w:bookmarkEnd w:id="25"/>
      <w:r>
        <w:rPr/>
      </w:r>
      <w:bookmarkStart w:name="11.健全数字化基础设施。升级网络基础设施，推动5G—A、万兆光网等网络基础设施" w:id="26"/>
      <w:bookmarkEnd w:id="26"/>
      <w:r>
        <w:rPr>
          <w:rFonts w:ascii="Microsoft JhengHei" w:eastAsia="Microsoft JhengHei" w:hint="eastAsia"/>
          <w:b/>
          <w:spacing w:val="27"/>
          <w:sz w:val="32"/>
        </w:rPr>
        <w:t>健全数字化基础设施。</w:t>
      </w:r>
      <w:r>
        <w:rPr>
          <w:spacing w:val="23"/>
          <w:sz w:val="32"/>
        </w:rPr>
        <w:t>升级网络基础设施，推动</w:t>
      </w:r>
    </w:p>
    <w:p>
      <w:pPr>
        <w:pStyle w:val="BodyText"/>
        <w:spacing w:line="328" w:lineRule="auto" w:before="76"/>
        <w:ind w:right="120"/>
      </w:pPr>
      <w:r>
        <w:rPr>
          <w:rFonts w:ascii="Times New Roman" w:hAnsi="Times New Roman" w:eastAsia="Times New Roman"/>
        </w:rPr>
        <w:t>5G</w:t>
      </w:r>
      <w:r>
        <w:rPr/>
        <w:t>—</w:t>
      </w:r>
      <w:r>
        <w:rPr>
          <w:rFonts w:ascii="Times New Roman" w:hAnsi="Times New Roman" w:eastAsia="Times New Roman"/>
        </w:rPr>
        <w:t>A</w:t>
      </w:r>
      <w:r>
        <w:rPr/>
        <w:t>、万兆光网等网络基础设施建设和演进升级，推进标</w:t>
      </w:r>
      <w:r>
        <w:rPr>
          <w:spacing w:val="11"/>
          <w:w w:val="95"/>
        </w:rPr>
        <w:t>识解析体系广泛应用，打造高速泛在、敏捷可靠的网络通 道。优化算力基础设施，科学合理统筹通算、智算、超算 </w:t>
      </w:r>
      <w:r>
        <w:rPr>
          <w:spacing w:val="11"/>
        </w:rPr>
        <w:t>等多元算力应用，提高算力资源利用效率。</w:t>
      </w:r>
    </w:p>
    <w:p>
      <w:pPr>
        <w:pStyle w:val="ListParagraph"/>
        <w:numPr>
          <w:ilvl w:val="0"/>
          <w:numId w:val="1"/>
        </w:numPr>
        <w:tabs>
          <w:tab w:pos="1169" w:val="left" w:leader="none"/>
        </w:tabs>
        <w:spacing w:line="475" w:lineRule="exact" w:before="0" w:after="0"/>
        <w:ind w:left="1168" w:right="0" w:hanging="409"/>
        <w:jc w:val="left"/>
        <w:rPr>
          <w:rFonts w:ascii="Times New Roman" w:eastAsia="Times New Roman"/>
          <w:sz w:val="30"/>
        </w:rPr>
      </w:pPr>
      <w:bookmarkStart w:name="12.构筑数据开发利用平台。统筹建设园区统一数字平台，加强对园区各部门、各企业的" w:id="27"/>
      <w:bookmarkEnd w:id="27"/>
      <w:r>
        <w:rPr/>
      </w:r>
      <w:bookmarkStart w:name="12.构筑数据开发利用平台。统筹建设园区统一数字平台，加强对园区各部门、各企业的" w:id="28"/>
      <w:bookmarkEnd w:id="28"/>
      <w:r>
        <w:rPr>
          <w:rFonts w:ascii="Microsoft JhengHei" w:eastAsia="Microsoft JhengHei" w:hint="eastAsia"/>
          <w:b/>
          <w:spacing w:val="11"/>
          <w:sz w:val="32"/>
        </w:rPr>
        <w:t>构筑数据开发利用平台。</w:t>
      </w:r>
      <w:r>
        <w:rPr>
          <w:spacing w:val="8"/>
          <w:sz w:val="32"/>
        </w:rPr>
        <w:t>统筹建设园区统一数字平</w:t>
      </w:r>
    </w:p>
    <w:p>
      <w:pPr>
        <w:pStyle w:val="BodyText"/>
        <w:spacing w:line="328" w:lineRule="auto" w:before="79"/>
        <w:ind w:right="106"/>
      </w:pPr>
      <w:r>
        <w:rPr>
          <w:spacing w:val="-1"/>
        </w:rPr>
        <w:t>台，加强对园区各部门、各企业的数据采集、清洗与标注， </w:t>
      </w:r>
      <w:r>
        <w:rPr>
          <w:spacing w:val="11"/>
          <w:w w:val="95"/>
        </w:rPr>
        <w:t>构建园区高质量数据集。探索建设可信数据空间，破除多 </w:t>
      </w:r>
      <w:r>
        <w:rPr>
          <w:spacing w:val="4"/>
          <w:w w:val="95"/>
        </w:rPr>
        <w:t>主体数据共享共用信任壁垒，强化“人工智能</w:t>
      </w:r>
      <w:r>
        <w:rPr>
          <w:rFonts w:ascii="Times New Roman" w:hAnsi="Times New Roman" w:eastAsia="Times New Roman"/>
          <w:spacing w:val="7"/>
          <w:w w:val="95"/>
        </w:rPr>
        <w:t>+</w:t>
      </w:r>
      <w:r>
        <w:rPr>
          <w:spacing w:val="4"/>
          <w:w w:val="95"/>
        </w:rPr>
        <w:t>可信数据空 </w:t>
      </w:r>
      <w:r>
        <w:rPr>
          <w:spacing w:val="4"/>
        </w:rPr>
        <w:t>间”应用，推动园区数据服务创新。</w:t>
      </w:r>
    </w:p>
    <w:p>
      <w:pPr>
        <w:pStyle w:val="ListParagraph"/>
        <w:numPr>
          <w:ilvl w:val="0"/>
          <w:numId w:val="1"/>
        </w:numPr>
        <w:tabs>
          <w:tab w:pos="1169" w:val="left" w:leader="none"/>
        </w:tabs>
        <w:spacing w:line="475" w:lineRule="exact" w:before="0" w:after="0"/>
        <w:ind w:left="1168" w:right="0" w:hanging="409"/>
        <w:jc w:val="left"/>
        <w:rPr>
          <w:rFonts w:ascii="Times New Roman" w:eastAsia="Times New Roman"/>
          <w:sz w:val="30"/>
        </w:rPr>
      </w:pPr>
      <w:bookmarkStart w:name="13.提升数字化安全保障水平。推动园区企业实施工业互联网安全分类分级管理，开展工" w:id="29"/>
      <w:bookmarkEnd w:id="29"/>
      <w:r>
        <w:rPr/>
      </w:r>
      <w:bookmarkStart w:name="13.提升数字化安全保障水平。推动园区企业实施工业互联网安全分类分级管理，开展工" w:id="30"/>
      <w:bookmarkEnd w:id="30"/>
      <w:r>
        <w:rPr>
          <w:rFonts w:ascii="Microsoft JhengHei" w:eastAsia="Microsoft JhengHei" w:hint="eastAsia"/>
          <w:b/>
          <w:spacing w:val="11"/>
          <w:sz w:val="32"/>
        </w:rPr>
        <w:t>提升数字化安全保障水平。</w:t>
      </w:r>
      <w:r>
        <w:rPr>
          <w:spacing w:val="8"/>
          <w:sz w:val="32"/>
        </w:rPr>
        <w:t>推动园区企业实施工业</w:t>
      </w:r>
    </w:p>
    <w:p>
      <w:pPr>
        <w:pStyle w:val="BodyText"/>
        <w:spacing w:line="328" w:lineRule="auto" w:before="76"/>
        <w:ind w:right="103"/>
      </w:pPr>
      <w:r>
        <w:rPr>
          <w:spacing w:val="11"/>
          <w:w w:val="95"/>
        </w:rPr>
        <w:t>互联网安全分类分级管理，开展工业控制系统网络安全评 估，加强重要数据识别备案和分级防护等工作，强化网络 和数据安全风险防范能力。构建安全态势感知平台，提高 </w:t>
      </w:r>
      <w:r>
        <w:rPr>
          <w:spacing w:val="11"/>
        </w:rPr>
        <w:t>园区网络和数据安全威胁发现、监测预警、溯源处置水平。</w:t>
      </w:r>
    </w:p>
    <w:p>
      <w:pPr>
        <w:spacing w:after="0" w:line="328" w:lineRule="auto"/>
        <w:sectPr>
          <w:pgSz w:w="11910" w:h="16840"/>
          <w:pgMar w:header="0" w:footer="1972" w:top="1580" w:bottom="2160" w:left="1680" w:right="1680"/>
        </w:sectPr>
      </w:pPr>
    </w:p>
    <w:p>
      <w:pPr>
        <w:pStyle w:val="BodyText"/>
        <w:spacing w:before="101"/>
        <w:ind w:left="760"/>
        <w:jc w:val="left"/>
        <w:rPr>
          <w:rFonts w:ascii="黑体" w:eastAsia="黑体" w:hint="eastAsia"/>
        </w:rPr>
      </w:pPr>
      <w:bookmarkStart w:name="五、组织实施" w:id="31"/>
      <w:bookmarkEnd w:id="31"/>
      <w:r>
        <w:rPr/>
      </w:r>
      <w:r>
        <w:rPr>
          <w:rFonts w:ascii="黑体" w:eastAsia="黑体" w:hint="eastAsia"/>
        </w:rPr>
        <w:t>五、组织实施</w:t>
      </w:r>
    </w:p>
    <w:p>
      <w:pPr>
        <w:pStyle w:val="Heading1"/>
        <w:spacing w:before="46"/>
      </w:pPr>
      <w:bookmarkStart w:name="（一）加强建设指导" w:id="32"/>
      <w:bookmarkEnd w:id="32"/>
      <w:r>
        <w:rPr>
          <w:b w:val="0"/>
        </w:rPr>
      </w:r>
      <w:r>
        <w:rPr/>
        <w:t>（一）加强建设指导</w:t>
      </w:r>
    </w:p>
    <w:p>
      <w:pPr>
        <w:pStyle w:val="BodyText"/>
        <w:spacing w:line="328" w:lineRule="auto" w:before="76"/>
        <w:ind w:right="103" w:firstLine="640"/>
      </w:pPr>
      <w:r>
        <w:rPr/>
        <w:t>工业和信息化部加强高标准数字园区建设工作的指导， </w:t>
      </w:r>
      <w:r>
        <w:rPr>
          <w:spacing w:val="11"/>
          <w:w w:val="95"/>
        </w:rPr>
        <w:t>组织遴选高标准数字园区建设对象，推动地方和园区落实 指南要求，推进园区数字化建设。地方工业和信息化主管 部门按照指南建设标准开展评估，符合标准的正式确定为 </w:t>
      </w:r>
      <w:r>
        <w:rPr>
          <w:spacing w:val="11"/>
        </w:rPr>
        <w:t>高标准数字园区。</w:t>
      </w:r>
    </w:p>
    <w:p>
      <w:pPr>
        <w:pStyle w:val="Heading1"/>
        <w:spacing w:line="475" w:lineRule="exact"/>
      </w:pPr>
      <w:bookmarkStart w:name="（二）强化政策支持" w:id="33"/>
      <w:bookmarkEnd w:id="33"/>
      <w:r>
        <w:rPr>
          <w:b w:val="0"/>
        </w:rPr>
      </w:r>
      <w:r>
        <w:rPr/>
        <w:t>（二）强化政策支持</w:t>
      </w:r>
    </w:p>
    <w:p>
      <w:pPr>
        <w:pStyle w:val="BodyText"/>
        <w:spacing w:line="328" w:lineRule="auto" w:before="77"/>
        <w:ind w:right="117" w:firstLine="640"/>
      </w:pPr>
      <w:r>
        <w:rPr>
          <w:spacing w:val="13"/>
          <w:w w:val="95"/>
        </w:rPr>
        <w:t>工业和信息化部结合大规模设备更新、中小企业数字 </w:t>
      </w:r>
      <w:r>
        <w:rPr>
          <w:spacing w:val="11"/>
          <w:w w:val="95"/>
        </w:rPr>
        <w:t>化转型城市试点、制造业新型技术改造城市试点、工业互 联网一体化进园区“百城千园行”等工作，加大对高标准 数字园区建设支持力度，加快推动园区产业数字化转型供 需对接、融合应用等。地方工业和信息化主管部门、园区 所在地政府和园区管理机构等充分利用现有资源，加强园 区数字化建设要素保障和政策支持，引导社会资本参与高 </w:t>
      </w:r>
      <w:r>
        <w:rPr>
          <w:spacing w:val="11"/>
        </w:rPr>
        <w:t>标准数字园区建设。</w:t>
      </w:r>
    </w:p>
    <w:p>
      <w:pPr>
        <w:pStyle w:val="Heading1"/>
        <w:spacing w:line="470" w:lineRule="exact"/>
      </w:pPr>
      <w:bookmarkStart w:name="（三）开展成效评估" w:id="34"/>
      <w:bookmarkEnd w:id="34"/>
      <w:r>
        <w:rPr>
          <w:b w:val="0"/>
        </w:rPr>
      </w:r>
      <w:r>
        <w:rPr/>
        <w:t>（三）开展成效评估</w:t>
      </w:r>
    </w:p>
    <w:p>
      <w:pPr>
        <w:pStyle w:val="BodyText"/>
        <w:spacing w:line="328" w:lineRule="auto" w:before="76"/>
        <w:ind w:right="117" w:firstLine="640"/>
      </w:pPr>
      <w:r>
        <w:rPr>
          <w:spacing w:val="13"/>
          <w:w w:val="95"/>
        </w:rPr>
        <w:t>工业和信息化部制定高标准数字园区发展评价指标体 </w:t>
      </w:r>
      <w:r>
        <w:rPr>
          <w:spacing w:val="11"/>
          <w:w w:val="95"/>
        </w:rPr>
        <w:t>系，依托制造业数字化转型综合信息服务平台，每年开展 成效评估，总结高标准数字园区建设的成效经验和典型模 式，通过组织现场会、经验交流会等形式，加大宣传推广 </w:t>
      </w:r>
      <w:r>
        <w:rPr>
          <w:spacing w:val="11"/>
        </w:rPr>
        <w:t>力度。</w:t>
      </w:r>
    </w:p>
    <w:sectPr>
      <w:pgSz w:w="11910" w:h="16840"/>
      <w:pgMar w:header="0" w:footer="1972" w:top="1580" w:bottom="216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Unicode MS">
    <w:altName w:val="Arial Unicode MS"/>
    <w:charset w:val="86"/>
    <w:family w:val="swiss"/>
    <w:pitch w:val="variable"/>
  </w:font>
  <w:font w:name="黑体">
    <w:altName w:val="黑体"/>
    <w:charset w:val="86"/>
    <w:family w:val="modern"/>
    <w:pitch w:val="fixed"/>
  </w:font>
  <w:font w:name="宋体">
    <w:altName w:val="宋体"/>
    <w:charset w:val="86"/>
    <w:family w:val="auto"/>
    <w:pitch w:val="variable"/>
  </w:font>
  <w:font w:name="Microsoft JhengHei">
    <w:altName w:val="Microsoft JhengHe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0.959015pt;margin-top:732.296875pt;width:11.25pt;height:13.6pt;mso-position-horizontal-relative:page;mso-position-vertical-relative:page;z-index:-157946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00" w:hanging="240"/>
        <w:jc w:val="left"/>
      </w:pPr>
      <w:rPr>
        <w:rFonts w:hint="default"/>
        <w:b/>
        <w:bCs/>
        <w:spacing w:val="-2"/>
        <w:w w:val="99"/>
      </w:rPr>
    </w:lvl>
    <w:lvl w:ilvl="1">
      <w:start w:val="0"/>
      <w:numFmt w:val="bullet"/>
      <w:lvlText w:val="•"/>
      <w:lvlJc w:val="left"/>
      <w:pPr>
        <w:ind w:left="1754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9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3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8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73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27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82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36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>
      <w:ind w:left="120"/>
      <w:jc w:val="both"/>
    </w:pPr>
    <w:rPr>
      <w:rFonts w:ascii="宋体" w:hAnsi="宋体" w:eastAsia="宋体" w:cs="宋体"/>
      <w:sz w:val="32"/>
      <w:szCs w:val="32"/>
    </w:rPr>
  </w:style>
  <w:style w:styleId="Heading1" w:type="paragraph">
    <w:name w:val="Heading 1"/>
    <w:basedOn w:val="Normal"/>
    <w:uiPriority w:val="1"/>
    <w:qFormat/>
    <w:pPr>
      <w:ind w:left="760"/>
      <w:outlineLvl w:val="1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styleId="Title" w:type="paragraph">
    <w:name w:val="Title"/>
    <w:basedOn w:val="Normal"/>
    <w:uiPriority w:val="1"/>
    <w:qFormat/>
    <w:pPr>
      <w:spacing w:line="614" w:lineRule="exact"/>
      <w:ind w:left="2274" w:right="2275"/>
      <w:jc w:val="center"/>
    </w:pPr>
    <w:rPr>
      <w:rFonts w:ascii="Arial Unicode MS" w:hAnsi="Arial Unicode MS" w:eastAsia="Arial Unicode MS" w:cs="Arial Unicode MS"/>
      <w:sz w:val="36"/>
      <w:szCs w:val="36"/>
    </w:rPr>
  </w:style>
  <w:style w:styleId="ListParagraph" w:type="paragraph">
    <w:name w:val="List Paragraph"/>
    <w:basedOn w:val="Normal"/>
    <w:uiPriority w:val="1"/>
    <w:qFormat/>
    <w:pPr>
      <w:spacing w:line="475" w:lineRule="exact"/>
      <w:ind w:left="1000" w:hanging="241"/>
    </w:pPr>
    <w:rPr>
      <w:rFonts w:ascii="宋体" w:hAnsi="宋体" w:eastAsia="宋体" w:cs="宋体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杨昊亭</dc:creator>
  <dcterms:created xsi:type="dcterms:W3CDTF">2025-11-19T01:32:20Z</dcterms:created>
  <dcterms:modified xsi:type="dcterms:W3CDTF">2025-11-19T01:32:20Z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2025-11-19T00:00:00Z</vt:filetime>
  </property>
</Properties>
</file>