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588" w:lineRule="exact"/>
        <w:ind w:right="361"/>
      </w:pPr>
      <w:r>
        <w:rPr/>
        <w:t>科技服务业标准体系建设指南</w:t>
      </w:r>
    </w:p>
    <w:p>
      <w:pPr>
        <w:pStyle w:val="Title"/>
      </w:pPr>
      <w:r>
        <w:rPr/>
        <w:t>（</w:t>
      </w:r>
      <w:r>
        <w:rPr>
          <w:rFonts w:ascii="Times New Roman" w:eastAsia="Times New Roman"/>
        </w:rPr>
        <w:t>2025 </w:t>
      </w:r>
      <w:r>
        <w:rPr/>
        <w:t>版）</w:t>
      </w:r>
    </w:p>
    <w:p>
      <w:pPr>
        <w:pStyle w:val="BodyText"/>
        <w:spacing w:before="16"/>
        <w:rPr>
          <w:rFonts w:ascii="Arial Unicode MS"/>
          <w:sz w:val="42"/>
        </w:rPr>
      </w:pPr>
    </w:p>
    <w:p>
      <w:pPr>
        <w:pStyle w:val="BodyText"/>
        <w:spacing w:line="364" w:lineRule="auto"/>
        <w:ind w:left="120" w:right="477" w:firstLine="640"/>
        <w:jc w:val="both"/>
      </w:pPr>
      <w:r>
        <w:rPr>
          <w:spacing w:val="-3"/>
          <w:w w:val="95"/>
        </w:rPr>
        <w:t>为落实《工业和信息化部等九部门关于加快推进科技服 </w:t>
      </w:r>
      <w:r>
        <w:rPr>
          <w:spacing w:val="-5"/>
        </w:rPr>
        <w:t>务业高质量发展的实施意见》，加强科技服务业标准化工作</w:t>
      </w:r>
      <w:r>
        <w:rPr>
          <w:spacing w:val="-6"/>
          <w:w w:val="95"/>
        </w:rPr>
        <w:t>系统谋划，发挥标准对科技服务业的支撑和引领作用，推进 </w:t>
      </w:r>
      <w:r>
        <w:rPr>
          <w:spacing w:val="-6"/>
        </w:rPr>
        <w:t>科技服务业高质量发展，制定本指南。</w:t>
      </w:r>
    </w:p>
    <w:p>
      <w:pPr>
        <w:spacing w:before="8"/>
        <w:ind w:left="739" w:right="0" w:firstLine="0"/>
        <w:jc w:val="left"/>
        <w:rPr>
          <w:rFonts w:ascii="黑体" w:eastAsia="黑体" w:hint="eastAsia"/>
          <w:sz w:val="31"/>
        </w:rPr>
      </w:pPr>
      <w:r>
        <w:rPr>
          <w:rFonts w:ascii="黑体" w:eastAsia="黑体" w:hint="eastAsia"/>
          <w:sz w:val="31"/>
        </w:rPr>
        <w:t>一、科技服务业发展现状</w:t>
      </w:r>
    </w:p>
    <w:p>
      <w:pPr>
        <w:pStyle w:val="BodyText"/>
        <w:spacing w:line="364" w:lineRule="auto" w:before="222"/>
        <w:ind w:left="120" w:right="319" w:firstLine="640"/>
        <w:jc w:val="both"/>
      </w:pPr>
      <w:r>
        <w:rPr/>
        <w:t>科技服务业是运用现代科学知识和技术手段，围绕科技创新全链条发展、科技成果高效率转化，向社会提供智力服务的新兴产业，是现代服务业的重要组成部分，主要包括研究开发服务、技术转移转化服务、企业孵化服务、技术推广服务、检验检测认证服务、信息技术服务、工程技术服务、</w:t>
      </w:r>
      <w:r>
        <w:rPr>
          <w:w w:val="95"/>
        </w:rPr>
        <w:t>科技金融服务、知识产权服务、科技咨询及其他科技服务等。</w:t>
      </w:r>
    </w:p>
    <w:p>
      <w:pPr>
        <w:pStyle w:val="BodyText"/>
        <w:spacing w:line="364" w:lineRule="auto" w:before="5"/>
        <w:ind w:left="120" w:right="477" w:firstLine="640"/>
        <w:jc w:val="both"/>
      </w:pPr>
      <w:r>
        <w:rPr>
          <w:spacing w:val="-3"/>
        </w:rPr>
        <w:t>近年来，我国科技服务业发展迅速，新型服务主体不断涌现，服务业态不断丰富，新技术、新模式、新业态层出不</w:t>
      </w:r>
      <w:r>
        <w:rPr>
          <w:spacing w:val="-4"/>
          <w:w w:val="95"/>
        </w:rPr>
        <w:t>穷，科技服务业已逐渐成为全球技术竞争的重要抓手。随着 </w:t>
      </w:r>
      <w:r>
        <w:rPr>
          <w:spacing w:val="-5"/>
          <w:w w:val="95"/>
        </w:rPr>
        <w:t>技术创新、模式创新、产业创新和服务创新加速融合，亟需 </w:t>
      </w:r>
      <w:r>
        <w:rPr>
          <w:spacing w:val="-5"/>
        </w:rPr>
        <w:t>加强标准体系建设，规范和引领科技服务业高质量发展。</w:t>
      </w:r>
    </w:p>
    <w:p>
      <w:pPr>
        <w:spacing w:before="9"/>
        <w:ind w:left="739" w:right="0" w:firstLine="0"/>
        <w:jc w:val="left"/>
        <w:rPr>
          <w:rFonts w:ascii="黑体" w:eastAsia="黑体" w:hint="eastAsia"/>
          <w:sz w:val="31"/>
        </w:rPr>
      </w:pPr>
      <w:r>
        <w:rPr>
          <w:rFonts w:ascii="黑体" w:eastAsia="黑体" w:hint="eastAsia"/>
          <w:sz w:val="31"/>
        </w:rPr>
        <w:t>二、总体要求</w:t>
      </w:r>
    </w:p>
    <w:p>
      <w:pPr>
        <w:pStyle w:val="BodyText"/>
        <w:spacing w:line="364" w:lineRule="auto" w:before="221"/>
        <w:ind w:left="120" w:right="465" w:firstLine="640"/>
      </w:pPr>
      <w:r>
        <w:rPr/>
        <w:t>立足科技服务业发展和培育全国一体化技术市场需求， 坚持“系统谋划、创新驱动、开放合作”原则，统筹推进科</w:t>
      </w:r>
    </w:p>
    <w:p>
      <w:pPr>
        <w:spacing w:after="0" w:line="364" w:lineRule="auto"/>
        <w:sectPr>
          <w:footerReference w:type="default" r:id="rId5"/>
          <w:type w:val="continuous"/>
          <w:pgSz w:w="11910" w:h="16840"/>
          <w:pgMar w:footer="974" w:top="1440" w:bottom="1160" w:left="1680" w:right="1320"/>
          <w:pgNumType w:start="1"/>
        </w:sectPr>
      </w:pPr>
    </w:p>
    <w:p>
      <w:pPr>
        <w:pStyle w:val="BodyText"/>
        <w:spacing w:line="364" w:lineRule="auto" w:before="30"/>
        <w:ind w:left="120" w:right="433"/>
        <w:rPr>
          <w:rFonts w:ascii="Times New Roman" w:eastAsia="Times New Roman"/>
        </w:rPr>
      </w:pPr>
      <w:r>
        <w:rPr/>
        <w:t>技服务业标准的制定、实施和国际化，为加快科技成果转化和产业化、引领科技服务业高质量发展提供支撑。到 </w:t>
      </w:r>
      <w:r>
        <w:rPr>
          <w:rFonts w:ascii="Times New Roman" w:eastAsia="Times New Roman"/>
        </w:rPr>
        <w:t>2027</w:t>
      </w:r>
    </w:p>
    <w:p>
      <w:pPr>
        <w:pStyle w:val="BodyText"/>
        <w:spacing w:line="364" w:lineRule="auto" w:before="1"/>
        <w:ind w:left="120" w:right="467"/>
      </w:pPr>
      <w:r>
        <w:rPr/>
        <w:t>年，新制定科技服务业国家标准和行业标准 </w:t>
      </w:r>
      <w:r>
        <w:rPr>
          <w:rFonts w:ascii="Times New Roman" w:eastAsia="Times New Roman"/>
        </w:rPr>
        <w:t>40 </w:t>
      </w:r>
      <w:r>
        <w:rPr/>
        <w:t>项以上，初步构建满足科技服务业高质量发展的标准体系，面向超过</w:t>
      </w:r>
      <w:r>
        <w:rPr>
          <w:rFonts w:ascii="Times New Roman" w:eastAsia="Times New Roman"/>
        </w:rPr>
        <w:t>1000 </w:t>
      </w:r>
      <w:r>
        <w:rPr/>
        <w:t>家企业开展贯标工作。到 </w:t>
      </w:r>
      <w:r>
        <w:rPr>
          <w:rFonts w:ascii="Times New Roman" w:eastAsia="Times New Roman"/>
        </w:rPr>
        <w:t>2030 </w:t>
      </w:r>
      <w:r>
        <w:rPr/>
        <w:t>年，新制定科技服务业</w:t>
      </w:r>
    </w:p>
    <w:p>
      <w:pPr>
        <w:pStyle w:val="BodyText"/>
        <w:spacing w:line="364" w:lineRule="auto" w:before="3"/>
        <w:ind w:left="120" w:right="547"/>
      </w:pPr>
      <w:r>
        <w:rPr/>
        <w:t>国家标准和行业标准 </w:t>
      </w:r>
      <w:r>
        <w:rPr>
          <w:rFonts w:ascii="Times New Roman" w:eastAsia="Times New Roman"/>
        </w:rPr>
        <w:t>80 </w:t>
      </w:r>
      <w:r>
        <w:rPr/>
        <w:t>项以上，基本建成满足科技服务业高质量发展的标准体系，标准服务企业成效更加凸显。</w:t>
      </w:r>
    </w:p>
    <w:p>
      <w:pPr>
        <w:spacing w:before="7"/>
        <w:ind w:left="739" w:right="0" w:firstLine="0"/>
        <w:jc w:val="left"/>
        <w:rPr>
          <w:rFonts w:ascii="黑体" w:eastAsia="黑体" w:hint="eastAsia"/>
          <w:sz w:val="31"/>
        </w:rPr>
      </w:pPr>
      <w:r>
        <w:rPr>
          <w:rFonts w:ascii="黑体" w:eastAsia="黑体" w:hint="eastAsia"/>
          <w:sz w:val="31"/>
        </w:rPr>
        <w:t>三、建设思路</w:t>
      </w:r>
    </w:p>
    <w:p>
      <w:pPr>
        <w:pStyle w:val="Heading1"/>
        <w:spacing w:line="240" w:lineRule="auto" w:before="116"/>
        <w:ind w:left="760" w:firstLine="0"/>
      </w:pPr>
      <w:r>
        <w:rPr/>
        <w:t>（一）科技服务业标准体系结构</w:t>
      </w:r>
    </w:p>
    <w:p>
      <w:pPr>
        <w:pStyle w:val="BodyText"/>
        <w:spacing w:line="300" w:lineRule="auto" w:before="141"/>
        <w:ind w:left="120" w:right="465" w:firstLine="640"/>
        <w:jc w:val="both"/>
      </w:pPr>
      <w:r>
        <w:rPr>
          <w:spacing w:val="-2"/>
        </w:rPr>
        <w:t>科技服务业标准体系结构包括基础通用、重点领域、管</w:t>
      </w:r>
      <w:r>
        <w:rPr>
          <w:spacing w:val="-18"/>
        </w:rPr>
        <w:t>理保障等 </w:t>
      </w:r>
      <w:r>
        <w:rPr>
          <w:rFonts w:ascii="Times New Roman" w:eastAsia="Times New Roman"/>
        </w:rPr>
        <w:t>3</w:t>
      </w:r>
      <w:r>
        <w:rPr>
          <w:rFonts w:ascii="Times New Roman" w:eastAsia="Times New Roman"/>
          <w:spacing w:val="-2"/>
        </w:rPr>
        <w:t> </w:t>
      </w:r>
      <w:r>
        <w:rPr>
          <w:spacing w:val="-14"/>
        </w:rPr>
        <w:t>个部分，如图 </w:t>
      </w:r>
      <w:r>
        <w:rPr>
          <w:rFonts w:ascii="Times New Roman" w:eastAsia="Times New Roman"/>
        </w:rPr>
        <w:t>1</w:t>
      </w:r>
      <w:r>
        <w:rPr>
          <w:rFonts w:ascii="Times New Roman" w:eastAsia="Times New Roman"/>
          <w:spacing w:val="-2"/>
        </w:rPr>
        <w:t> </w:t>
      </w:r>
      <w:r>
        <w:rPr>
          <w:spacing w:val="-4"/>
        </w:rPr>
        <w:t>所示。</w:t>
      </w:r>
      <w:r>
        <w:rPr>
          <w:rFonts w:ascii="Microsoft JhengHei" w:eastAsia="Microsoft JhengHei" w:hint="eastAsia"/>
          <w:b/>
        </w:rPr>
        <w:t>基础通用标准</w:t>
      </w:r>
      <w:r>
        <w:rPr/>
        <w:t>主要规范科</w:t>
      </w:r>
      <w:r>
        <w:rPr>
          <w:spacing w:val="-2"/>
        </w:rPr>
        <w:t>技服务业通用性技术和要求，是其他科技服务业标准的底层</w:t>
      </w:r>
      <w:r>
        <w:rPr>
          <w:spacing w:val="-6"/>
        </w:rPr>
        <w:t>支撑；</w:t>
      </w:r>
      <w:r>
        <w:rPr>
          <w:rFonts w:ascii="Microsoft JhengHei" w:eastAsia="Microsoft JhengHei" w:hint="eastAsia"/>
          <w:b/>
        </w:rPr>
        <w:t>重点领域标准</w:t>
      </w:r>
      <w:r>
        <w:rPr>
          <w:spacing w:val="-1"/>
        </w:rPr>
        <w:t>主要规范研究开发服务、技术转移转化</w:t>
      </w:r>
      <w:r>
        <w:rPr>
          <w:spacing w:val="-1"/>
          <w:w w:val="95"/>
        </w:rPr>
        <w:t>服务、企业孵化服务、技术推广服务、检验检测认证服务、</w:t>
      </w:r>
    </w:p>
    <w:p>
      <w:pPr>
        <w:pStyle w:val="BodyText"/>
        <w:spacing w:before="111"/>
        <w:ind w:left="120"/>
      </w:pPr>
      <w:r>
        <w:rPr>
          <w:spacing w:val="-3"/>
          <w:w w:val="95"/>
        </w:rPr>
        <w:t>信息技术服务、工程技术服务、科技金融服务、知识产权服</w:t>
      </w:r>
    </w:p>
    <w:p>
      <w:pPr>
        <w:pStyle w:val="BodyText"/>
        <w:spacing w:line="300" w:lineRule="auto" w:before="214"/>
        <w:ind w:left="120" w:right="480"/>
        <w:jc w:val="both"/>
      </w:pPr>
      <w:r>
        <w:rPr>
          <w:spacing w:val="-4"/>
        </w:rPr>
        <w:t>务、科技咨询服务等具体领域标准，是科技服务业标准体系的核心内容；</w:t>
      </w:r>
      <w:r>
        <w:rPr>
          <w:rFonts w:ascii="Microsoft JhengHei" w:eastAsia="Microsoft JhengHei" w:hint="eastAsia"/>
          <w:b/>
        </w:rPr>
        <w:t>管理保障标准</w:t>
      </w:r>
      <w:r>
        <w:rPr/>
        <w:t>主要规范服务流程和风险控制要求，为科技服务业提供管理和保障。</w:t>
      </w:r>
    </w:p>
    <w:p>
      <w:pPr>
        <w:spacing w:after="0" w:line="300" w:lineRule="auto"/>
        <w:jc w:val="both"/>
        <w:sectPr>
          <w:pgSz w:w="11910" w:h="16840"/>
          <w:pgMar w:header="0" w:footer="974" w:top="1500" w:bottom="1160" w:left="1680" w:right="1320"/>
        </w:sectPr>
      </w:pPr>
    </w:p>
    <w:p>
      <w:pPr>
        <w:pStyle w:val="BodyText"/>
        <w:ind w:left="348"/>
        <w:rPr>
          <w:sz w:val="20"/>
        </w:rPr>
      </w:pPr>
      <w:r>
        <w:rPr>
          <w:sz w:val="20"/>
        </w:rPr>
        <w:drawing>
          <wp:inline distT="0" distB="0" distL="0" distR="0">
            <wp:extent cx="5325019" cy="298322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325019" cy="2983229"/>
                    </a:xfrm>
                    <a:prstGeom prst="rect">
                      <a:avLst/>
                    </a:prstGeom>
                  </pic:spPr>
                </pic:pic>
              </a:graphicData>
            </a:graphic>
          </wp:inline>
        </w:drawing>
      </w:r>
      <w:r>
        <w:rPr>
          <w:sz w:val="20"/>
        </w:rPr>
      </w:r>
    </w:p>
    <w:p>
      <w:pPr>
        <w:pStyle w:val="BodyText"/>
        <w:spacing w:before="2"/>
        <w:rPr>
          <w:sz w:val="17"/>
        </w:rPr>
      </w:pPr>
    </w:p>
    <w:p>
      <w:pPr>
        <w:pStyle w:val="BodyText"/>
        <w:tabs>
          <w:tab w:pos="880" w:val="left" w:leader="none"/>
        </w:tabs>
        <w:spacing w:before="64"/>
        <w:ind w:right="360"/>
        <w:jc w:val="center"/>
      </w:pPr>
      <w:r>
        <w:rPr/>
        <w:t>图</w:t>
      </w:r>
      <w:r>
        <w:rPr>
          <w:spacing w:val="-80"/>
        </w:rPr>
        <w:t> </w:t>
      </w:r>
      <w:r>
        <w:rPr>
          <w:rFonts w:ascii="Times New Roman" w:eastAsia="Times New Roman"/>
        </w:rPr>
        <w:t>1</w:t>
        <w:tab/>
      </w:r>
      <w:r>
        <w:rPr/>
        <w:t>科技服务业标准体系结构图</w:t>
      </w:r>
    </w:p>
    <w:p>
      <w:pPr>
        <w:spacing w:after="0"/>
        <w:jc w:val="center"/>
        <w:sectPr>
          <w:pgSz w:w="11910" w:h="16840"/>
          <w:pgMar w:header="0" w:footer="974" w:top="1540" w:bottom="1160" w:left="1680" w:right="1320"/>
        </w:sectPr>
      </w:pPr>
    </w:p>
    <w:p>
      <w:pPr>
        <w:pStyle w:val="BodyText"/>
        <w:rPr>
          <w:sz w:val="20"/>
        </w:rPr>
      </w:pPr>
      <w:r>
        <w:rPr/>
        <w:pict>
          <v:group style="position:absolute;margin-left:72pt;margin-top:173.399994pt;width:729.15pt;height:254.55pt;mso-position-horizontal-relative:page;mso-position-vertical-relative:page;z-index:-15819264" coordorigin="1440,3468" coordsize="14583,5091">
            <v:shape style="position:absolute;left:2327;top:4194;width:2998;height:2977" type="#_x0000_t75" stroked="false">
              <v:imagedata r:id="rId8" o:title=""/>
            </v:shape>
            <v:shape style="position:absolute;left:9767;top:4194;width:2998;height:2977" type="#_x0000_t75" stroked="false">
              <v:imagedata r:id="rId9" o:title=""/>
            </v:shape>
            <v:shape style="position:absolute;left:1440;top:3468;width:14583;height:5091" type="#_x0000_t75" stroked="false">
              <v:imagedata r:id="rId10" o:title=""/>
            </v:shape>
            <w10:wrap type="none"/>
          </v:group>
        </w:pict>
      </w:r>
    </w:p>
    <w:p>
      <w:pPr>
        <w:pStyle w:val="BodyText"/>
        <w:rPr>
          <w:sz w:val="20"/>
        </w:rPr>
      </w:pPr>
    </w:p>
    <w:p>
      <w:pPr>
        <w:pStyle w:val="BodyText"/>
        <w:spacing w:before="4"/>
        <w:rPr>
          <w:sz w:val="18"/>
        </w:rPr>
      </w:pPr>
    </w:p>
    <w:p>
      <w:pPr>
        <w:pStyle w:val="Heading1"/>
        <w:spacing w:line="538" w:lineRule="exact"/>
        <w:ind w:left="100" w:firstLine="0"/>
      </w:pPr>
      <w:r>
        <w:rPr/>
        <w:t>（二）科技服务业标准体系总体框架</w:t>
      </w:r>
    </w:p>
    <w:p>
      <w:pPr>
        <w:pStyle w:val="BodyText"/>
        <w:spacing w:before="141"/>
        <w:ind w:left="100"/>
      </w:pPr>
      <w:r>
        <w:rPr/>
        <w:t>科技服务业标准体系总体框架，如图 </w:t>
      </w:r>
      <w:r>
        <w:rPr>
          <w:rFonts w:ascii="Times New Roman" w:eastAsia="Times New Roman"/>
        </w:rPr>
        <w:t>2 </w:t>
      </w:r>
      <w:r>
        <w:rPr/>
        <w:t>所示。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tabs>
          <w:tab w:pos="1318" w:val="left" w:leader="none"/>
        </w:tabs>
        <w:spacing w:before="192"/>
        <w:ind w:left="437"/>
        <w:jc w:val="center"/>
      </w:pPr>
      <w:r>
        <w:rPr/>
        <w:t>图</w:t>
      </w:r>
      <w:r>
        <w:rPr>
          <w:spacing w:val="-80"/>
        </w:rPr>
        <w:t> </w:t>
      </w:r>
      <w:r>
        <w:rPr>
          <w:rFonts w:ascii="Times New Roman" w:eastAsia="Times New Roman"/>
        </w:rPr>
        <w:t>2</w:t>
        <w:tab/>
      </w:r>
      <w:r>
        <w:rPr/>
        <w:t>科技服务业标准体系总体框架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439" w:right="0" w:firstLine="0"/>
        <w:jc w:val="center"/>
        <w:rPr>
          <w:rFonts w:ascii="Times New Roman"/>
          <w:sz w:val="18"/>
        </w:rPr>
      </w:pPr>
      <w:r>
        <w:rPr>
          <w:rFonts w:ascii="Times New Roman"/>
          <w:sz w:val="18"/>
        </w:rPr>
        <w:t>4</w:t>
      </w:r>
    </w:p>
    <w:p>
      <w:pPr>
        <w:spacing w:after="0"/>
        <w:jc w:val="center"/>
        <w:rPr>
          <w:rFonts w:ascii="Times New Roman"/>
          <w:sz w:val="18"/>
        </w:rPr>
        <w:sectPr>
          <w:footerReference w:type="default" r:id="rId7"/>
          <w:pgSz w:w="16840" w:h="11910" w:orient="landscape"/>
          <w:pgMar w:footer="0" w:header="0" w:top="1100" w:bottom="280" w:left="1980" w:right="2420"/>
        </w:sectPr>
      </w:pPr>
    </w:p>
    <w:p>
      <w:pPr>
        <w:spacing w:before="35"/>
        <w:ind w:left="739" w:right="0" w:firstLine="0"/>
        <w:jc w:val="left"/>
        <w:rPr>
          <w:rFonts w:ascii="黑体" w:eastAsia="黑体" w:hint="eastAsia"/>
          <w:sz w:val="31"/>
        </w:rPr>
      </w:pPr>
      <w:r>
        <w:rPr>
          <w:rFonts w:ascii="黑体" w:eastAsia="黑体" w:hint="eastAsia"/>
          <w:sz w:val="31"/>
        </w:rPr>
        <w:t>四、建设内容</w:t>
      </w:r>
    </w:p>
    <w:p>
      <w:pPr>
        <w:pStyle w:val="Heading1"/>
        <w:spacing w:line="240" w:lineRule="auto" w:before="116"/>
        <w:ind w:left="760" w:firstLine="0"/>
      </w:pPr>
      <w:r>
        <w:rPr/>
        <w:t>（一）基础通用标准</w:t>
      </w:r>
    </w:p>
    <w:p>
      <w:pPr>
        <w:pStyle w:val="BodyText"/>
        <w:spacing w:before="141"/>
        <w:ind w:left="760"/>
      </w:pPr>
      <w:r>
        <w:rPr>
          <w:spacing w:val="-13"/>
        </w:rPr>
        <w:t>基础通用标准包括术语、分类与编码、基本准则等标准。</w:t>
      </w:r>
    </w:p>
    <w:p>
      <w:pPr>
        <w:pStyle w:val="Heading1"/>
        <w:numPr>
          <w:ilvl w:val="0"/>
          <w:numId w:val="1"/>
        </w:numPr>
        <w:tabs>
          <w:tab w:pos="1001" w:val="left" w:leader="none"/>
        </w:tabs>
        <w:spacing w:line="240" w:lineRule="auto" w:before="109" w:after="0"/>
        <w:ind w:left="1000" w:right="0" w:hanging="241"/>
        <w:jc w:val="left"/>
      </w:pPr>
      <w:r>
        <w:rPr/>
        <w:t>术语标准</w:t>
      </w:r>
    </w:p>
    <w:p>
      <w:pPr>
        <w:pStyle w:val="BodyText"/>
        <w:spacing w:line="364" w:lineRule="auto" w:before="141"/>
        <w:ind w:left="120" w:right="213" w:firstLine="640"/>
      </w:pPr>
      <w:r>
        <w:rPr/>
        <w:t>规范科技服务业相关术语的概念与定义，为其他相关标准的制定及开展标准化活动提供支撑。</w:t>
      </w:r>
    </w:p>
    <w:p>
      <w:pPr>
        <w:pStyle w:val="Heading1"/>
        <w:numPr>
          <w:ilvl w:val="0"/>
          <w:numId w:val="1"/>
        </w:numPr>
        <w:tabs>
          <w:tab w:pos="1001" w:val="left" w:leader="none"/>
        </w:tabs>
        <w:spacing w:line="484" w:lineRule="exact" w:before="0" w:after="0"/>
        <w:ind w:left="1000" w:right="0" w:hanging="241"/>
        <w:jc w:val="left"/>
      </w:pPr>
      <w:r>
        <w:rPr/>
        <w:t>分类与编码标准</w:t>
      </w:r>
    </w:p>
    <w:p>
      <w:pPr>
        <w:pStyle w:val="BodyText"/>
        <w:spacing w:line="364" w:lineRule="auto" w:before="141"/>
        <w:ind w:left="120" w:right="215" w:firstLine="640"/>
      </w:pPr>
      <w:r>
        <w:rPr/>
        <w:t>规范科技服务业各细分领域、服务类型及其相互关系的分类要求，为整个行业提供统一的分类框架和编码体系。</w:t>
      </w:r>
    </w:p>
    <w:p>
      <w:pPr>
        <w:pStyle w:val="Heading1"/>
        <w:numPr>
          <w:ilvl w:val="0"/>
          <w:numId w:val="1"/>
        </w:numPr>
        <w:tabs>
          <w:tab w:pos="1001" w:val="left" w:leader="none"/>
        </w:tabs>
        <w:spacing w:line="484" w:lineRule="exact" w:before="0" w:after="0"/>
        <w:ind w:left="1000" w:right="0" w:hanging="241"/>
        <w:jc w:val="left"/>
      </w:pPr>
      <w:r>
        <w:rPr/>
        <w:t>基本准则标准</w:t>
      </w:r>
    </w:p>
    <w:p>
      <w:pPr>
        <w:pStyle w:val="BodyText"/>
        <w:spacing w:line="364" w:lineRule="auto" w:before="141"/>
        <w:ind w:left="120" w:right="215" w:firstLine="640"/>
      </w:pPr>
      <w:r>
        <w:rPr/>
        <w:t>规范科技服务过程中应遵循的基础通用要求，以及科技服务业标准化过程中的操作规范。</w:t>
      </w:r>
    </w:p>
    <w:p>
      <w:pPr>
        <w:pStyle w:val="Heading1"/>
        <w:ind w:left="760" w:firstLine="0"/>
      </w:pPr>
      <w:r>
        <w:rPr/>
        <w:t>（二）重点领域标准</w:t>
      </w:r>
    </w:p>
    <w:p>
      <w:pPr>
        <w:pStyle w:val="BodyText"/>
        <w:spacing w:line="364" w:lineRule="auto" w:before="141"/>
        <w:ind w:left="120" w:right="245" w:firstLine="640"/>
        <w:jc w:val="both"/>
      </w:pPr>
      <w:r>
        <w:rPr/>
        <w:t>重点领域标准包括研究开发服务、技术转移转化服务、企业孵化服务、技术推广服务、检验检测认证服务、信息技术服务、工程技术服务、科技金融服务、知识产权服务、科技咨询服务及其他科技服务等标准。</w:t>
      </w:r>
    </w:p>
    <w:p>
      <w:pPr>
        <w:pStyle w:val="Heading1"/>
        <w:numPr>
          <w:ilvl w:val="0"/>
          <w:numId w:val="2"/>
        </w:numPr>
        <w:tabs>
          <w:tab w:pos="1001" w:val="left" w:leader="none"/>
        </w:tabs>
        <w:spacing w:line="486" w:lineRule="exact" w:before="0" w:after="0"/>
        <w:ind w:left="1000" w:right="0" w:hanging="241"/>
        <w:jc w:val="left"/>
      </w:pPr>
      <w:r>
        <w:rPr/>
        <w:t>研究开发服务标准</w:t>
      </w:r>
    </w:p>
    <w:p>
      <w:pPr>
        <w:pStyle w:val="BodyText"/>
        <w:spacing w:line="364" w:lineRule="auto" w:before="142"/>
        <w:ind w:left="120" w:right="257" w:firstLine="640"/>
        <w:jc w:val="both"/>
      </w:pPr>
      <w:r>
        <w:rPr>
          <w:spacing w:val="-3"/>
        </w:rPr>
        <w:t>规范研究开发服务的过程、质量、人员资质、设备管理</w:t>
      </w:r>
      <w:r>
        <w:rPr>
          <w:spacing w:val="-3"/>
          <w:w w:val="95"/>
        </w:rPr>
        <w:t>等要求，包括面向战略性、基础性、前瞻性、共性技术需求 </w:t>
      </w:r>
      <w:r>
        <w:rPr>
          <w:spacing w:val="-4"/>
          <w:w w:val="95"/>
        </w:rPr>
        <w:t>的研究开发和产业化服务标准，项目立项、需求分析、方案 </w:t>
      </w:r>
      <w:r>
        <w:rPr>
          <w:spacing w:val="-4"/>
        </w:rPr>
        <w:t>设计、实施执行、成果验收等各环节标准。</w:t>
      </w:r>
    </w:p>
    <w:p>
      <w:pPr>
        <w:spacing w:after="0" w:line="364" w:lineRule="auto"/>
        <w:jc w:val="both"/>
        <w:sectPr>
          <w:footerReference w:type="default" r:id="rId11"/>
          <w:pgSz w:w="11910" w:h="16840"/>
          <w:pgMar w:footer="974" w:header="0" w:top="1500" w:bottom="1160" w:left="1680" w:right="1540"/>
          <w:pgNumType w:start="5"/>
        </w:sectPr>
      </w:pPr>
    </w:p>
    <w:p>
      <w:pPr>
        <w:pStyle w:val="Heading1"/>
        <w:numPr>
          <w:ilvl w:val="0"/>
          <w:numId w:val="2"/>
        </w:numPr>
        <w:tabs>
          <w:tab w:pos="1001" w:val="left" w:leader="none"/>
        </w:tabs>
        <w:spacing w:line="533" w:lineRule="exact" w:before="0" w:after="0"/>
        <w:ind w:left="1000" w:right="0" w:hanging="241"/>
        <w:jc w:val="left"/>
      </w:pPr>
      <w:r>
        <w:rPr/>
        <w:t>技术转移转化服务标准</w:t>
      </w:r>
    </w:p>
    <w:p>
      <w:pPr>
        <w:pStyle w:val="BodyText"/>
        <w:spacing w:line="364" w:lineRule="auto" w:before="141"/>
        <w:ind w:left="120" w:right="99" w:firstLine="640"/>
      </w:pPr>
      <w:r>
        <w:rPr>
          <w:spacing w:val="-2"/>
        </w:rPr>
        <w:t>规范技术转移转化服务中技术评估、技术成果对接、技</w:t>
      </w:r>
      <w:r>
        <w:rPr>
          <w:spacing w:val="-5"/>
        </w:rPr>
        <w:t>术交易、验证服务等要求，包括科技成果价值评估等技术评</w:t>
      </w:r>
      <w:r>
        <w:rPr>
          <w:spacing w:val="-15"/>
          <w:w w:val="95"/>
        </w:rPr>
        <w:t>估标准，科技成果挖掘、科技成果信息披露、科技成果路演、 </w:t>
      </w:r>
      <w:r>
        <w:rPr>
          <w:spacing w:val="-15"/>
        </w:rPr>
        <w:t>科技成果标准化及产业化等技术成果对接服务标准，技术合</w:t>
      </w:r>
      <w:r>
        <w:rPr>
          <w:spacing w:val="-8"/>
        </w:rPr>
        <w:t>同登记、交易结算、技术拍卖、技术作价入股等技术交易标准，概念验证、中试验证等验证服务标准。</w:t>
      </w:r>
    </w:p>
    <w:p>
      <w:pPr>
        <w:pStyle w:val="Heading1"/>
        <w:numPr>
          <w:ilvl w:val="0"/>
          <w:numId w:val="2"/>
        </w:numPr>
        <w:tabs>
          <w:tab w:pos="1001" w:val="left" w:leader="none"/>
        </w:tabs>
        <w:spacing w:line="488" w:lineRule="exact" w:before="0" w:after="0"/>
        <w:ind w:left="1000" w:right="0" w:hanging="241"/>
        <w:jc w:val="left"/>
      </w:pPr>
      <w:r>
        <w:rPr/>
        <w:t>企业孵化服务标准</w:t>
      </w:r>
    </w:p>
    <w:p>
      <w:pPr>
        <w:pStyle w:val="BodyText"/>
        <w:spacing w:line="364" w:lineRule="auto" w:before="141"/>
        <w:ind w:left="120" w:right="245" w:firstLine="640"/>
        <w:jc w:val="both"/>
      </w:pPr>
      <w:r>
        <w:rPr/>
        <w:t>规范企业孵化器的运营服务、企业培育等要求，包括创业指导、技术咨询、市场推广、人才培训、投融资服务、风险防控等企业辅导标准，运营管理、服务提供、资源配置、环境建设等孵化器、园区服务标准。</w:t>
      </w:r>
    </w:p>
    <w:p>
      <w:pPr>
        <w:pStyle w:val="Heading1"/>
        <w:numPr>
          <w:ilvl w:val="0"/>
          <w:numId w:val="2"/>
        </w:numPr>
        <w:tabs>
          <w:tab w:pos="1001" w:val="left" w:leader="none"/>
        </w:tabs>
        <w:spacing w:line="486" w:lineRule="exact" w:before="0" w:after="0"/>
        <w:ind w:left="1000" w:right="0" w:hanging="241"/>
        <w:jc w:val="left"/>
      </w:pPr>
      <w:r>
        <w:rPr/>
        <w:t>技术推广服务标准</w:t>
      </w:r>
    </w:p>
    <w:p>
      <w:pPr>
        <w:pStyle w:val="BodyText"/>
        <w:spacing w:line="364" w:lineRule="auto" w:before="141"/>
        <w:ind w:left="120" w:right="260" w:firstLine="640"/>
        <w:jc w:val="both"/>
      </w:pPr>
      <w:r>
        <w:rPr>
          <w:spacing w:val="-1"/>
        </w:rPr>
        <w:t>规范技术推广服务中的技术推广服务、技术培训服务等</w:t>
      </w:r>
      <w:r>
        <w:rPr>
          <w:spacing w:val="-4"/>
          <w:w w:val="95"/>
        </w:rPr>
        <w:t>要求，包括服务流程、交付评估、售后支持等技术推广服务 标准，课程设计、师资资源、过程管理、效果评估等技术培 </w:t>
      </w:r>
      <w:r>
        <w:rPr>
          <w:spacing w:val="-4"/>
        </w:rPr>
        <w:t>训服务标准。</w:t>
      </w:r>
    </w:p>
    <w:p>
      <w:pPr>
        <w:pStyle w:val="Heading1"/>
        <w:numPr>
          <w:ilvl w:val="0"/>
          <w:numId w:val="2"/>
        </w:numPr>
        <w:tabs>
          <w:tab w:pos="1001" w:val="left" w:leader="none"/>
        </w:tabs>
        <w:spacing w:line="486" w:lineRule="exact" w:before="0" w:after="0"/>
        <w:ind w:left="1000" w:right="0" w:hanging="241"/>
        <w:jc w:val="left"/>
      </w:pPr>
      <w:r>
        <w:rPr/>
        <w:t>检验检测认证服务标准</w:t>
      </w:r>
    </w:p>
    <w:p>
      <w:pPr>
        <w:pStyle w:val="BodyText"/>
        <w:spacing w:line="364" w:lineRule="auto" w:before="141"/>
        <w:ind w:left="120" w:right="99" w:firstLine="640"/>
      </w:pPr>
      <w:r>
        <w:rPr>
          <w:spacing w:val="-3"/>
        </w:rPr>
        <w:t>规范计量校准、认证认可、检验检测等服务要求，包括</w:t>
      </w:r>
      <w:r>
        <w:rPr>
          <w:spacing w:val="-15"/>
          <w:w w:val="95"/>
        </w:rPr>
        <w:t>标准器管理、校准报告编制等计量校准服务标准，文件评审、 </w:t>
      </w:r>
      <w:r>
        <w:rPr>
          <w:spacing w:val="-14"/>
        </w:rPr>
        <w:t>现场审核等认证认可服务标准，人员能力、流程设计等检验检测服务标准。</w:t>
      </w:r>
    </w:p>
    <w:p>
      <w:pPr>
        <w:spacing w:after="0" w:line="364" w:lineRule="auto"/>
        <w:sectPr>
          <w:pgSz w:w="11910" w:h="16840"/>
          <w:pgMar w:header="0" w:footer="974" w:top="1480" w:bottom="1160" w:left="1680" w:right="1540"/>
        </w:sectPr>
      </w:pPr>
    </w:p>
    <w:p>
      <w:pPr>
        <w:pStyle w:val="Heading1"/>
        <w:numPr>
          <w:ilvl w:val="0"/>
          <w:numId w:val="2"/>
        </w:numPr>
        <w:tabs>
          <w:tab w:pos="1001" w:val="left" w:leader="none"/>
        </w:tabs>
        <w:spacing w:line="533" w:lineRule="exact" w:before="0" w:after="0"/>
        <w:ind w:left="1000" w:right="0" w:hanging="241"/>
        <w:jc w:val="left"/>
      </w:pPr>
      <w:r>
        <w:rPr/>
        <w:t>信息技术服务标准</w:t>
      </w:r>
    </w:p>
    <w:p>
      <w:pPr>
        <w:pStyle w:val="BodyText"/>
        <w:spacing w:line="364" w:lineRule="auto" w:before="141"/>
        <w:ind w:left="120" w:right="260" w:firstLine="640"/>
        <w:jc w:val="both"/>
      </w:pPr>
      <w:r>
        <w:rPr>
          <w:spacing w:val="-3"/>
          <w:w w:val="95"/>
        </w:rPr>
        <w:t>规范信息技术服务的设计、开发、交付、运营等全生命 周期服务要求，包括基础服务、咨询设计、集成实施、运行 维护、数据服务、治理服务、云服务、城市信息模型、智能 </w:t>
      </w:r>
      <w:r>
        <w:rPr>
          <w:spacing w:val="-3"/>
        </w:rPr>
        <w:t>感知服务等标准。</w:t>
      </w:r>
    </w:p>
    <w:p>
      <w:pPr>
        <w:pStyle w:val="Heading1"/>
        <w:numPr>
          <w:ilvl w:val="0"/>
          <w:numId w:val="2"/>
        </w:numPr>
        <w:tabs>
          <w:tab w:pos="1001" w:val="left" w:leader="none"/>
        </w:tabs>
        <w:spacing w:line="486" w:lineRule="exact" w:before="0" w:after="0"/>
        <w:ind w:left="1000" w:right="0" w:hanging="241"/>
        <w:jc w:val="left"/>
      </w:pPr>
      <w:r>
        <w:rPr/>
        <w:t>工程技术服务标准</w:t>
      </w:r>
    </w:p>
    <w:p>
      <w:pPr>
        <w:pStyle w:val="BodyText"/>
        <w:spacing w:line="364" w:lineRule="auto" w:before="141"/>
        <w:ind w:left="120" w:right="245" w:firstLine="640"/>
        <w:jc w:val="both"/>
      </w:pPr>
      <w:r>
        <w:rPr/>
        <w:t>规范钢铁、交通、能源、建筑等工程技术领域的服务要求，包括工程咨询、工程造价咨询、工程设计、工程勘察、工程管理、工程监理、建筑信息模型等工程技术服务标准。</w:t>
      </w:r>
    </w:p>
    <w:p>
      <w:pPr>
        <w:pStyle w:val="Heading1"/>
        <w:numPr>
          <w:ilvl w:val="0"/>
          <w:numId w:val="2"/>
        </w:numPr>
        <w:tabs>
          <w:tab w:pos="1001" w:val="left" w:leader="none"/>
        </w:tabs>
        <w:spacing w:line="485" w:lineRule="exact" w:before="0" w:after="0"/>
        <w:ind w:left="1000" w:right="0" w:hanging="241"/>
        <w:jc w:val="left"/>
      </w:pPr>
      <w:r>
        <w:rPr/>
        <w:t>科技金融服务标准</w:t>
      </w:r>
    </w:p>
    <w:p>
      <w:pPr>
        <w:pStyle w:val="BodyText"/>
        <w:spacing w:line="364" w:lineRule="auto" w:before="141"/>
        <w:ind w:left="120" w:right="260" w:firstLine="640"/>
        <w:jc w:val="both"/>
      </w:pPr>
      <w:r>
        <w:rPr>
          <w:spacing w:val="-3"/>
        </w:rPr>
        <w:t>规范技术交易金融服务、企业科技创新金融服务、知识</w:t>
      </w:r>
      <w:r>
        <w:rPr>
          <w:spacing w:val="-1"/>
        </w:rPr>
        <w:t>产权金融服务等科技金融领域服务要求，包括知识产权质押</w:t>
      </w:r>
      <w:r>
        <w:rPr>
          <w:spacing w:val="-3"/>
          <w:w w:val="95"/>
        </w:rPr>
        <w:t>贷、科技成果转化保险、科技型企业融资担保、企业创新积 </w:t>
      </w:r>
      <w:r>
        <w:rPr>
          <w:spacing w:val="-3"/>
        </w:rPr>
        <w:t>分制、知识产权证券化等科技金融服务标准。</w:t>
      </w:r>
    </w:p>
    <w:p>
      <w:pPr>
        <w:pStyle w:val="Heading1"/>
        <w:numPr>
          <w:ilvl w:val="0"/>
          <w:numId w:val="2"/>
        </w:numPr>
        <w:tabs>
          <w:tab w:pos="1001" w:val="left" w:leader="none"/>
        </w:tabs>
        <w:spacing w:line="486" w:lineRule="exact" w:before="0" w:after="0"/>
        <w:ind w:left="1000" w:right="0" w:hanging="241"/>
        <w:jc w:val="left"/>
      </w:pPr>
      <w:r>
        <w:rPr/>
        <w:t>知识产权服务标准</w:t>
      </w:r>
    </w:p>
    <w:p>
      <w:pPr>
        <w:pStyle w:val="BodyText"/>
        <w:spacing w:line="364" w:lineRule="auto" w:before="141"/>
        <w:ind w:left="120" w:right="99" w:firstLine="640"/>
      </w:pPr>
      <w:r>
        <w:rPr/>
        <w:t>规范知识产权信息服务、咨询服务、运营服务等服务要</w:t>
      </w:r>
      <w:r>
        <w:rPr>
          <w:w w:val="95"/>
        </w:rPr>
        <w:t>求，包括服务流程规范、服务质量评价等知识产权服务标准。</w:t>
      </w:r>
    </w:p>
    <w:p>
      <w:pPr>
        <w:pStyle w:val="Heading1"/>
        <w:numPr>
          <w:ilvl w:val="0"/>
          <w:numId w:val="2"/>
        </w:numPr>
        <w:tabs>
          <w:tab w:pos="1160" w:val="left" w:leader="none"/>
        </w:tabs>
        <w:spacing w:line="484" w:lineRule="exact" w:before="0" w:after="0"/>
        <w:ind w:left="1159" w:right="0" w:hanging="400"/>
        <w:jc w:val="left"/>
      </w:pPr>
      <w:r>
        <w:rPr/>
        <w:t>科技咨询服务及其他科技服务标准</w:t>
      </w:r>
    </w:p>
    <w:p>
      <w:pPr>
        <w:pStyle w:val="BodyText"/>
        <w:spacing w:line="364" w:lineRule="auto" w:before="142"/>
        <w:ind w:left="120" w:right="245" w:firstLine="640"/>
        <w:jc w:val="both"/>
      </w:pPr>
      <w:r>
        <w:rPr/>
        <w:t>规范智库、科技传媒、科普设施等科技咨询服务要求， 包括科技政策咨询服务、产业信息咨询服务、技术趋势咨询服务等科技咨询服务标准。</w:t>
      </w:r>
    </w:p>
    <w:p>
      <w:pPr>
        <w:spacing w:after="0" w:line="364" w:lineRule="auto"/>
        <w:jc w:val="both"/>
        <w:sectPr>
          <w:pgSz w:w="11910" w:h="16840"/>
          <w:pgMar w:header="0" w:footer="974" w:top="1480" w:bottom="1160" w:left="1680" w:right="1540"/>
        </w:sectPr>
      </w:pPr>
    </w:p>
    <w:p>
      <w:pPr>
        <w:pStyle w:val="BodyText"/>
        <w:spacing w:line="364" w:lineRule="auto" w:before="30"/>
        <w:ind w:left="120" w:right="257" w:firstLine="640"/>
      </w:pPr>
      <w:r>
        <w:rPr>
          <w:spacing w:val="13"/>
          <w:w w:val="95"/>
        </w:rPr>
        <w:t>其他科技服务标准主要围绕以上未提到的其他各类科 </w:t>
      </w:r>
      <w:r>
        <w:rPr>
          <w:spacing w:val="13"/>
        </w:rPr>
        <w:t>技服务业要求，制定相应标准。</w:t>
      </w:r>
    </w:p>
    <w:p>
      <w:pPr>
        <w:pStyle w:val="Heading1"/>
        <w:ind w:left="760" w:firstLine="0"/>
      </w:pPr>
      <w:r>
        <w:rPr/>
        <w:t>（三）管理保障标准</w:t>
      </w:r>
    </w:p>
    <w:p>
      <w:pPr>
        <w:pStyle w:val="BodyText"/>
        <w:spacing w:line="364" w:lineRule="auto" w:before="141"/>
        <w:ind w:left="120" w:right="260" w:firstLine="640"/>
      </w:pPr>
      <w:r>
        <w:rPr>
          <w:spacing w:val="-3"/>
        </w:rPr>
        <w:t>管理保障标准包括机构管理、人员管理、服务管理、信息管理、数据统计等标准。</w:t>
      </w:r>
    </w:p>
    <w:p>
      <w:pPr>
        <w:pStyle w:val="Heading1"/>
        <w:numPr>
          <w:ilvl w:val="0"/>
          <w:numId w:val="3"/>
        </w:numPr>
        <w:tabs>
          <w:tab w:pos="1001" w:val="left" w:leader="none"/>
        </w:tabs>
        <w:spacing w:line="484" w:lineRule="exact" w:before="0" w:after="0"/>
        <w:ind w:left="1000" w:right="0" w:hanging="241"/>
        <w:jc w:val="left"/>
      </w:pPr>
      <w:r>
        <w:rPr/>
        <w:t>机构管理标准</w:t>
      </w:r>
    </w:p>
    <w:p>
      <w:pPr>
        <w:pStyle w:val="BodyText"/>
        <w:spacing w:line="364" w:lineRule="auto" w:before="141"/>
        <w:ind w:left="120" w:right="99" w:firstLine="640"/>
      </w:pPr>
      <w:r>
        <w:rPr>
          <w:spacing w:val="-11"/>
          <w:w w:val="95"/>
        </w:rPr>
        <w:t>规范科技服务业机构的组织架构、运营流程、人员管理、 </w:t>
      </w:r>
      <w:r>
        <w:rPr>
          <w:spacing w:val="-9"/>
        </w:rPr>
        <w:t>服务质量监控、数据安全、信息安全与合规性等要求，包括</w:t>
      </w:r>
      <w:r>
        <w:rPr>
          <w:spacing w:val="-8"/>
        </w:rPr>
        <w:t>技术转移机构、技术交易机构、创业孵化机构、生产力促进机构等科技服务业机构的建设、管理及评价标准。</w:t>
      </w:r>
    </w:p>
    <w:p>
      <w:pPr>
        <w:pStyle w:val="Heading1"/>
        <w:numPr>
          <w:ilvl w:val="0"/>
          <w:numId w:val="3"/>
        </w:numPr>
        <w:tabs>
          <w:tab w:pos="1001" w:val="left" w:leader="none"/>
        </w:tabs>
        <w:spacing w:line="486" w:lineRule="exact" w:before="0" w:after="0"/>
        <w:ind w:left="1000" w:right="0" w:hanging="241"/>
        <w:jc w:val="left"/>
      </w:pPr>
      <w:r>
        <w:rPr/>
        <w:t>人员管理标准</w:t>
      </w:r>
    </w:p>
    <w:p>
      <w:pPr>
        <w:pStyle w:val="BodyText"/>
        <w:spacing w:line="364" w:lineRule="auto" w:before="141"/>
        <w:ind w:left="120" w:right="245" w:firstLine="640"/>
        <w:jc w:val="both"/>
      </w:pPr>
      <w:r>
        <w:rPr/>
        <w:t>规范科技服务业领域从业人员的能力提升、知识更新、技能培训及职业发展路径等要求，包括科研助理、技术经理人、创业导师、科技咨询师等科技服务业从业者的培训、管理及评价标准。</w:t>
      </w:r>
    </w:p>
    <w:p>
      <w:pPr>
        <w:pStyle w:val="Heading1"/>
        <w:numPr>
          <w:ilvl w:val="0"/>
          <w:numId w:val="3"/>
        </w:numPr>
        <w:tabs>
          <w:tab w:pos="1001" w:val="left" w:leader="none"/>
        </w:tabs>
        <w:spacing w:line="486" w:lineRule="exact" w:before="0" w:after="0"/>
        <w:ind w:left="1000" w:right="0" w:hanging="241"/>
        <w:jc w:val="left"/>
      </w:pPr>
      <w:r>
        <w:rPr/>
        <w:t>服务管理标准</w:t>
      </w:r>
    </w:p>
    <w:p>
      <w:pPr>
        <w:pStyle w:val="BodyText"/>
        <w:spacing w:line="364" w:lineRule="auto" w:before="142"/>
        <w:ind w:left="120" w:right="257" w:firstLine="640"/>
      </w:pPr>
      <w:r>
        <w:rPr>
          <w:spacing w:val="13"/>
          <w:w w:val="95"/>
        </w:rPr>
        <w:t>规范科技服务提供过程中各环节的质量要求和控制措 </w:t>
      </w:r>
      <w:r>
        <w:rPr>
          <w:spacing w:val="13"/>
        </w:rPr>
        <w:t>施，包括相应服务质量管理标准。</w:t>
      </w:r>
    </w:p>
    <w:p>
      <w:pPr>
        <w:pStyle w:val="Heading1"/>
        <w:numPr>
          <w:ilvl w:val="0"/>
          <w:numId w:val="3"/>
        </w:numPr>
        <w:tabs>
          <w:tab w:pos="1001" w:val="left" w:leader="none"/>
        </w:tabs>
        <w:spacing w:line="484" w:lineRule="exact" w:before="0" w:after="0"/>
        <w:ind w:left="1000" w:right="0" w:hanging="241"/>
        <w:jc w:val="left"/>
      </w:pPr>
      <w:r>
        <w:rPr/>
        <w:t>信息管理标准</w:t>
      </w:r>
    </w:p>
    <w:p>
      <w:pPr>
        <w:pStyle w:val="BodyText"/>
        <w:spacing w:line="364" w:lineRule="auto" w:before="141"/>
        <w:ind w:left="120" w:right="215" w:firstLine="640"/>
      </w:pPr>
      <w:r>
        <w:rPr/>
        <w:t>规范科技服务业相关信息的管理、交换与利用要求，包括技术交易平台规范、平台数据接口等标准。</w:t>
      </w:r>
    </w:p>
    <w:p>
      <w:pPr>
        <w:pStyle w:val="Heading1"/>
        <w:numPr>
          <w:ilvl w:val="0"/>
          <w:numId w:val="3"/>
        </w:numPr>
        <w:tabs>
          <w:tab w:pos="1001" w:val="left" w:leader="none"/>
        </w:tabs>
        <w:spacing w:line="484" w:lineRule="exact" w:before="0" w:after="0"/>
        <w:ind w:left="1000" w:right="0" w:hanging="241"/>
        <w:jc w:val="left"/>
      </w:pPr>
      <w:r>
        <w:rPr/>
        <w:t>数据统计标准</w:t>
      </w:r>
    </w:p>
    <w:p>
      <w:pPr>
        <w:spacing w:after="0" w:line="484" w:lineRule="exact"/>
        <w:jc w:val="left"/>
        <w:sectPr>
          <w:pgSz w:w="11910" w:h="16840"/>
          <w:pgMar w:header="0" w:footer="974" w:top="1500" w:bottom="1160" w:left="1680" w:right="1540"/>
        </w:sectPr>
      </w:pPr>
    </w:p>
    <w:p>
      <w:pPr>
        <w:pStyle w:val="BodyText"/>
        <w:spacing w:line="364" w:lineRule="auto" w:before="30"/>
        <w:ind w:left="120" w:right="245" w:firstLine="640"/>
        <w:jc w:val="both"/>
      </w:pPr>
      <w:r>
        <w:rPr/>
        <w:t>规范科技服务业机构及个人在数据收集、处理、分析、报告等过程要求，包括数据安全存储、数据互联互通、数据分析与利用等技术要求和操作标准。</w:t>
      </w:r>
    </w:p>
    <w:p>
      <w:pPr>
        <w:spacing w:before="7"/>
        <w:ind w:left="739" w:right="0" w:firstLine="0"/>
        <w:jc w:val="left"/>
        <w:rPr>
          <w:rFonts w:ascii="黑体" w:eastAsia="黑体" w:hint="eastAsia"/>
          <w:sz w:val="31"/>
        </w:rPr>
      </w:pPr>
      <w:r>
        <w:rPr>
          <w:rFonts w:ascii="黑体" w:eastAsia="黑体" w:hint="eastAsia"/>
          <w:sz w:val="31"/>
        </w:rPr>
        <w:t>五、组织实施</w:t>
      </w:r>
    </w:p>
    <w:p>
      <w:pPr>
        <w:pStyle w:val="BodyText"/>
        <w:spacing w:line="364" w:lineRule="auto" w:before="222"/>
        <w:ind w:left="120" w:right="99" w:firstLine="640"/>
      </w:pPr>
      <w:r>
        <w:rPr>
          <w:spacing w:val="-3"/>
        </w:rPr>
        <w:t>加强统筹协调，加强科技服务业有关标准化技术组织的</w:t>
      </w:r>
      <w:r>
        <w:rPr>
          <w:spacing w:val="-5"/>
        </w:rPr>
        <w:t>协同配合，统筹产学研用各方，共同制定符合产业发展需要的标准。强化宣贯推广，指导行业协会、标准化技术组织和</w:t>
      </w:r>
      <w:r>
        <w:rPr>
          <w:spacing w:val="-6"/>
        </w:rPr>
        <w:t>专业机构等开展重点标准的宣贯培训和实施推广，引导企业对标达标。健全人才队伍，支持相关标准化技术组织和专业</w:t>
      </w:r>
      <w:r>
        <w:rPr>
          <w:spacing w:val="-16"/>
          <w:w w:val="95"/>
        </w:rPr>
        <w:t>机构等开展培训，提升标准化从业人员能力。深化国际合作， </w:t>
      </w:r>
      <w:r>
        <w:rPr>
          <w:spacing w:val="-16"/>
        </w:rPr>
        <w:t>支持和鼓励科技服务机构深度参与国际标准化活动，推动国内国际协同发展。</w:t>
      </w:r>
    </w:p>
    <w:sectPr>
      <w:pgSz w:w="11910" w:h="16840"/>
      <w:pgMar w:header="0" w:footer="974" w:top="1500" w:bottom="1160" w:left="168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86"/>
    <w:family w:val="swiss"/>
    <w:pitch w:val="variable"/>
  </w:font>
  <w:font w:name="宋体">
    <w:altName w:val="宋体"/>
    <w:charset w:val="86"/>
    <w:family w:val="auto"/>
    <w:pitch w:val="variable"/>
  </w:font>
  <w:font w:name="Microsoft JhengHei">
    <w:altName w:val="Microsoft JhengHei"/>
    <w:charset w:val="0"/>
    <w:family w:val="swiss"/>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40002pt;margin-top:782.19342pt;width:10.5pt;height:12.05pt;mso-position-horizontal-relative:page;mso-position-vertical-relative:page;z-index:-1581926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440002pt;margin-top:782.19342pt;width:10.5pt;height:12.05pt;mso-position-horizontal-relative:page;mso-position-vertical-relative:page;z-index:-1581875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00" w:hanging="240"/>
        <w:jc w:val="left"/>
      </w:pPr>
      <w:rPr>
        <w:rFonts w:hint="default" w:ascii="Times New Roman" w:hAnsi="Times New Roman" w:eastAsia="Times New Roman" w:cs="Times New Roman"/>
        <w:b/>
        <w:bCs/>
        <w:spacing w:val="-2"/>
        <w:w w:val="99"/>
        <w:sz w:val="30"/>
        <w:szCs w:val="30"/>
      </w:rPr>
    </w:lvl>
    <w:lvl w:ilvl="1">
      <w:start w:val="0"/>
      <w:numFmt w:val="bullet"/>
      <w:lvlText w:val="•"/>
      <w:lvlJc w:val="left"/>
      <w:pPr>
        <w:ind w:left="1768" w:hanging="240"/>
      </w:pPr>
      <w:rPr>
        <w:rFonts w:hint="default"/>
      </w:rPr>
    </w:lvl>
    <w:lvl w:ilvl="2">
      <w:start w:val="0"/>
      <w:numFmt w:val="bullet"/>
      <w:lvlText w:val="•"/>
      <w:lvlJc w:val="left"/>
      <w:pPr>
        <w:ind w:left="2537" w:hanging="240"/>
      </w:pPr>
      <w:rPr>
        <w:rFonts w:hint="default"/>
      </w:rPr>
    </w:lvl>
    <w:lvl w:ilvl="3">
      <w:start w:val="0"/>
      <w:numFmt w:val="bullet"/>
      <w:lvlText w:val="•"/>
      <w:lvlJc w:val="left"/>
      <w:pPr>
        <w:ind w:left="3305" w:hanging="240"/>
      </w:pPr>
      <w:rPr>
        <w:rFonts w:hint="default"/>
      </w:rPr>
    </w:lvl>
    <w:lvl w:ilvl="4">
      <w:start w:val="0"/>
      <w:numFmt w:val="bullet"/>
      <w:lvlText w:val="•"/>
      <w:lvlJc w:val="left"/>
      <w:pPr>
        <w:ind w:left="4074" w:hanging="240"/>
      </w:pPr>
      <w:rPr>
        <w:rFonts w:hint="default"/>
      </w:rPr>
    </w:lvl>
    <w:lvl w:ilvl="5">
      <w:start w:val="0"/>
      <w:numFmt w:val="bullet"/>
      <w:lvlText w:val="•"/>
      <w:lvlJc w:val="left"/>
      <w:pPr>
        <w:ind w:left="4843" w:hanging="240"/>
      </w:pPr>
      <w:rPr>
        <w:rFonts w:hint="default"/>
      </w:rPr>
    </w:lvl>
    <w:lvl w:ilvl="6">
      <w:start w:val="0"/>
      <w:numFmt w:val="bullet"/>
      <w:lvlText w:val="•"/>
      <w:lvlJc w:val="left"/>
      <w:pPr>
        <w:ind w:left="5611" w:hanging="240"/>
      </w:pPr>
      <w:rPr>
        <w:rFonts w:hint="default"/>
      </w:rPr>
    </w:lvl>
    <w:lvl w:ilvl="7">
      <w:start w:val="0"/>
      <w:numFmt w:val="bullet"/>
      <w:lvlText w:val="•"/>
      <w:lvlJc w:val="left"/>
      <w:pPr>
        <w:ind w:left="6380" w:hanging="240"/>
      </w:pPr>
      <w:rPr>
        <w:rFonts w:hint="default"/>
      </w:rPr>
    </w:lvl>
    <w:lvl w:ilvl="8">
      <w:start w:val="0"/>
      <w:numFmt w:val="bullet"/>
      <w:lvlText w:val="•"/>
      <w:lvlJc w:val="left"/>
      <w:pPr>
        <w:ind w:left="7148" w:hanging="240"/>
      </w:pPr>
      <w:rPr>
        <w:rFonts w:hint="default"/>
      </w:rPr>
    </w:lvl>
  </w:abstractNum>
  <w:abstractNum w:abstractNumId="1">
    <w:multiLevelType w:val="hybridMultilevel"/>
    <w:lvl w:ilvl="0">
      <w:start w:val="1"/>
      <w:numFmt w:val="decimal"/>
      <w:lvlText w:val="%1."/>
      <w:lvlJc w:val="left"/>
      <w:pPr>
        <w:ind w:left="1000" w:hanging="240"/>
        <w:jc w:val="left"/>
      </w:pPr>
      <w:rPr>
        <w:rFonts w:hint="default" w:ascii="Times New Roman" w:hAnsi="Times New Roman" w:eastAsia="Times New Roman" w:cs="Times New Roman"/>
        <w:b/>
        <w:bCs/>
        <w:spacing w:val="-2"/>
        <w:w w:val="99"/>
        <w:sz w:val="30"/>
        <w:szCs w:val="30"/>
      </w:rPr>
    </w:lvl>
    <w:lvl w:ilvl="1">
      <w:start w:val="0"/>
      <w:numFmt w:val="bullet"/>
      <w:lvlText w:val="•"/>
      <w:lvlJc w:val="left"/>
      <w:pPr>
        <w:ind w:left="1768" w:hanging="240"/>
      </w:pPr>
      <w:rPr>
        <w:rFonts w:hint="default"/>
      </w:rPr>
    </w:lvl>
    <w:lvl w:ilvl="2">
      <w:start w:val="0"/>
      <w:numFmt w:val="bullet"/>
      <w:lvlText w:val="•"/>
      <w:lvlJc w:val="left"/>
      <w:pPr>
        <w:ind w:left="2537" w:hanging="240"/>
      </w:pPr>
      <w:rPr>
        <w:rFonts w:hint="default"/>
      </w:rPr>
    </w:lvl>
    <w:lvl w:ilvl="3">
      <w:start w:val="0"/>
      <w:numFmt w:val="bullet"/>
      <w:lvlText w:val="•"/>
      <w:lvlJc w:val="left"/>
      <w:pPr>
        <w:ind w:left="3305" w:hanging="240"/>
      </w:pPr>
      <w:rPr>
        <w:rFonts w:hint="default"/>
      </w:rPr>
    </w:lvl>
    <w:lvl w:ilvl="4">
      <w:start w:val="0"/>
      <w:numFmt w:val="bullet"/>
      <w:lvlText w:val="•"/>
      <w:lvlJc w:val="left"/>
      <w:pPr>
        <w:ind w:left="4074" w:hanging="240"/>
      </w:pPr>
      <w:rPr>
        <w:rFonts w:hint="default"/>
      </w:rPr>
    </w:lvl>
    <w:lvl w:ilvl="5">
      <w:start w:val="0"/>
      <w:numFmt w:val="bullet"/>
      <w:lvlText w:val="•"/>
      <w:lvlJc w:val="left"/>
      <w:pPr>
        <w:ind w:left="4843" w:hanging="240"/>
      </w:pPr>
      <w:rPr>
        <w:rFonts w:hint="default"/>
      </w:rPr>
    </w:lvl>
    <w:lvl w:ilvl="6">
      <w:start w:val="0"/>
      <w:numFmt w:val="bullet"/>
      <w:lvlText w:val="•"/>
      <w:lvlJc w:val="left"/>
      <w:pPr>
        <w:ind w:left="5611" w:hanging="240"/>
      </w:pPr>
      <w:rPr>
        <w:rFonts w:hint="default"/>
      </w:rPr>
    </w:lvl>
    <w:lvl w:ilvl="7">
      <w:start w:val="0"/>
      <w:numFmt w:val="bullet"/>
      <w:lvlText w:val="•"/>
      <w:lvlJc w:val="left"/>
      <w:pPr>
        <w:ind w:left="6380" w:hanging="240"/>
      </w:pPr>
      <w:rPr>
        <w:rFonts w:hint="default"/>
      </w:rPr>
    </w:lvl>
    <w:lvl w:ilvl="8">
      <w:start w:val="0"/>
      <w:numFmt w:val="bullet"/>
      <w:lvlText w:val="•"/>
      <w:lvlJc w:val="left"/>
      <w:pPr>
        <w:ind w:left="7148" w:hanging="240"/>
      </w:pPr>
      <w:rPr>
        <w:rFonts w:hint="default"/>
      </w:rPr>
    </w:lvl>
  </w:abstractNum>
  <w:abstractNum w:abstractNumId="0">
    <w:multiLevelType w:val="hybridMultilevel"/>
    <w:lvl w:ilvl="0">
      <w:start w:val="1"/>
      <w:numFmt w:val="decimal"/>
      <w:lvlText w:val="%1."/>
      <w:lvlJc w:val="left"/>
      <w:pPr>
        <w:ind w:left="1000" w:hanging="240"/>
        <w:jc w:val="left"/>
      </w:pPr>
      <w:rPr>
        <w:rFonts w:hint="default" w:ascii="Times New Roman" w:hAnsi="Times New Roman" w:eastAsia="Times New Roman" w:cs="Times New Roman"/>
        <w:b/>
        <w:bCs/>
        <w:spacing w:val="-2"/>
        <w:w w:val="99"/>
        <w:sz w:val="30"/>
        <w:szCs w:val="30"/>
      </w:rPr>
    </w:lvl>
    <w:lvl w:ilvl="1">
      <w:start w:val="0"/>
      <w:numFmt w:val="bullet"/>
      <w:lvlText w:val="•"/>
      <w:lvlJc w:val="left"/>
      <w:pPr>
        <w:ind w:left="1768" w:hanging="240"/>
      </w:pPr>
      <w:rPr>
        <w:rFonts w:hint="default"/>
      </w:rPr>
    </w:lvl>
    <w:lvl w:ilvl="2">
      <w:start w:val="0"/>
      <w:numFmt w:val="bullet"/>
      <w:lvlText w:val="•"/>
      <w:lvlJc w:val="left"/>
      <w:pPr>
        <w:ind w:left="2537" w:hanging="240"/>
      </w:pPr>
      <w:rPr>
        <w:rFonts w:hint="default"/>
      </w:rPr>
    </w:lvl>
    <w:lvl w:ilvl="3">
      <w:start w:val="0"/>
      <w:numFmt w:val="bullet"/>
      <w:lvlText w:val="•"/>
      <w:lvlJc w:val="left"/>
      <w:pPr>
        <w:ind w:left="3305" w:hanging="240"/>
      </w:pPr>
      <w:rPr>
        <w:rFonts w:hint="default"/>
      </w:rPr>
    </w:lvl>
    <w:lvl w:ilvl="4">
      <w:start w:val="0"/>
      <w:numFmt w:val="bullet"/>
      <w:lvlText w:val="•"/>
      <w:lvlJc w:val="left"/>
      <w:pPr>
        <w:ind w:left="4074" w:hanging="240"/>
      </w:pPr>
      <w:rPr>
        <w:rFonts w:hint="default"/>
      </w:rPr>
    </w:lvl>
    <w:lvl w:ilvl="5">
      <w:start w:val="0"/>
      <w:numFmt w:val="bullet"/>
      <w:lvlText w:val="•"/>
      <w:lvlJc w:val="left"/>
      <w:pPr>
        <w:ind w:left="4843" w:hanging="240"/>
      </w:pPr>
      <w:rPr>
        <w:rFonts w:hint="default"/>
      </w:rPr>
    </w:lvl>
    <w:lvl w:ilvl="6">
      <w:start w:val="0"/>
      <w:numFmt w:val="bullet"/>
      <w:lvlText w:val="•"/>
      <w:lvlJc w:val="left"/>
      <w:pPr>
        <w:ind w:left="5611" w:hanging="240"/>
      </w:pPr>
      <w:rPr>
        <w:rFonts w:hint="default"/>
      </w:rPr>
    </w:lvl>
    <w:lvl w:ilvl="7">
      <w:start w:val="0"/>
      <w:numFmt w:val="bullet"/>
      <w:lvlText w:val="•"/>
      <w:lvlJc w:val="left"/>
      <w:pPr>
        <w:ind w:left="6380" w:hanging="240"/>
      </w:pPr>
      <w:rPr>
        <w:rFonts w:hint="default"/>
      </w:rPr>
    </w:lvl>
    <w:lvl w:ilvl="8">
      <w:start w:val="0"/>
      <w:numFmt w:val="bullet"/>
      <w:lvlText w:val="•"/>
      <w:lvlJc w:val="left"/>
      <w:pPr>
        <w:ind w:left="7148" w:hanging="24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32"/>
      <w:szCs w:val="32"/>
    </w:rPr>
  </w:style>
  <w:style w:styleId="Heading1" w:type="paragraph">
    <w:name w:val="Heading 1"/>
    <w:basedOn w:val="Normal"/>
    <w:uiPriority w:val="1"/>
    <w:qFormat/>
    <w:pPr>
      <w:spacing w:line="484" w:lineRule="exact"/>
      <w:ind w:left="1000" w:hanging="241"/>
      <w:outlineLvl w:val="1"/>
    </w:pPr>
    <w:rPr>
      <w:rFonts w:ascii="Microsoft JhengHei" w:hAnsi="Microsoft JhengHei" w:eastAsia="Microsoft JhengHei" w:cs="Microsoft JhengHei"/>
      <w:b/>
      <w:bCs/>
      <w:sz w:val="32"/>
      <w:szCs w:val="32"/>
    </w:rPr>
  </w:style>
  <w:style w:styleId="Title" w:type="paragraph">
    <w:name w:val="Title"/>
    <w:basedOn w:val="Normal"/>
    <w:uiPriority w:val="1"/>
    <w:qFormat/>
    <w:pPr>
      <w:ind w:right="357"/>
      <w:jc w:val="center"/>
    </w:pPr>
    <w:rPr>
      <w:rFonts w:ascii="Arial Unicode MS" w:hAnsi="Arial Unicode MS" w:eastAsia="Arial Unicode MS" w:cs="Arial Unicode MS"/>
      <w:sz w:val="36"/>
      <w:szCs w:val="36"/>
    </w:rPr>
  </w:style>
  <w:style w:styleId="ListParagraph" w:type="paragraph">
    <w:name w:val="List Paragraph"/>
    <w:basedOn w:val="Normal"/>
    <w:uiPriority w:val="1"/>
    <w:qFormat/>
    <w:pPr>
      <w:spacing w:line="486" w:lineRule="exact"/>
      <w:ind w:left="1000" w:hanging="241"/>
    </w:pPr>
    <w:rPr>
      <w:rFonts w:ascii="Microsoft JhengHei" w:hAnsi="Microsoft JhengHei" w:eastAsia="Microsoft JhengHei" w:cs="Microsoft JhengHe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李庆宇</dc:creator>
  <dc:title>为贯彻落实《工业和信息化部等九部门关于加快推进科技服务业高质量发展的实施意见》，加强科技服务业标准化工作系统谋划，切实发挥标准对推动科技服务业高质量发展的支撑引领作用，我们组织编制了《科技服务业标准体系建设指南（2025版）》。现印发给你们，请结合实际抓好落实。</dc:title>
  <dcterms:created xsi:type="dcterms:W3CDTF">2026-02-11T01:11:42Z</dcterms:created>
  <dcterms:modified xsi:type="dcterms:W3CDTF">2026-02-11T01:11:42Z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WPS 文字</vt:lpwstr>
  </property>
  <property fmtid="{D5CDD505-2E9C-101B-9397-08002B2CF9AE}" pid="4" name="LastSaved">
    <vt:filetime>2026-02-11T00:00:00Z</vt:filetime>
  </property>
</Properties>
</file>